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1EA7" w14:textId="77777777" w:rsidR="00CB2779" w:rsidRDefault="00CB2779" w:rsidP="00243B11">
      <w:pPr>
        <w:spacing w:after="0" w:line="276" w:lineRule="auto"/>
        <w:rPr>
          <w:rStyle w:val="tlid-translation"/>
          <w:b/>
          <w:bCs/>
        </w:rPr>
      </w:pPr>
    </w:p>
    <w:p w14:paraId="159A0358" w14:textId="6654270D" w:rsidR="00D170CB" w:rsidRDefault="00D170CB" w:rsidP="00D170CB">
      <w:r>
        <w:t xml:space="preserve">.  </w:t>
      </w:r>
    </w:p>
    <w:p w14:paraId="415642F1" w14:textId="382560E5" w:rsidR="009337BA" w:rsidRPr="009337BA" w:rsidRDefault="009337BA" w:rsidP="009337BA">
      <w:pPr>
        <w:suppressAutoHyphens/>
        <w:spacing w:line="256" w:lineRule="auto"/>
        <w:jc w:val="both"/>
        <w:rPr>
          <w:rFonts w:ascii="Calibri" w:eastAsia="SimSun" w:hAnsi="Calibri" w:cs="Calibri"/>
          <w:lang w:eastAsia="ar-SA"/>
        </w:rPr>
      </w:pPr>
      <w:r w:rsidRPr="009337BA">
        <w:rPr>
          <w:rFonts w:ascii="Calibri" w:eastAsia="Times New Roman" w:hAnsi="Calibri" w:cs="Calibri"/>
          <w:color w:val="000000"/>
          <w:lang w:eastAsia="ar-SA"/>
        </w:rPr>
        <w:t>Od pewnego czasu, pojawiają się w mediach sensacyjne wiadomości na temat spodziewanego szybkiego zakazu instalacji kotłów gazowych oraz wykorzystywania gazu w instalacjach do ogrzewania. Tego typu informacje wprowadzają niepokój na rynku i są często przyczyną wstrzymywania decyzji o wymianie starych kotłów na nowe, co dotyczy zarówno starych kotłów gazowych, jak również kotłów spalających śmiecie, co nie jest korzystne w walce o czyste powietrze.</w:t>
      </w:r>
      <w:r w:rsidR="00AD7EEB">
        <w:rPr>
          <w:rFonts w:ascii="Calibri" w:eastAsia="Times New Roman" w:hAnsi="Calibri" w:cs="Calibri"/>
          <w:color w:val="000000"/>
          <w:lang w:eastAsia="ar-SA"/>
        </w:rPr>
        <w:t xml:space="preserve"> Wprowadzane obecnie propozycje regulacje przypominają wyścig z czasem, żeby doprowadzić do zakazu innych technologii które nie są pompami ciepła, co spotyka się z coraz bardziej widocznym niezadowoleniem społeczeństw, także w krajach, które uważane są za awangardę takiego rozwiązania.</w:t>
      </w:r>
      <w:r w:rsidR="005A4C5D">
        <w:rPr>
          <w:rFonts w:ascii="Calibri" w:eastAsia="Times New Roman" w:hAnsi="Calibri" w:cs="Calibri"/>
          <w:color w:val="000000"/>
          <w:lang w:eastAsia="ar-SA"/>
        </w:rPr>
        <w:t xml:space="preserve"> Wyścig z czasem jest prawdopodobnie spowodowany faktem , ze kolejne argumenty </w:t>
      </w:r>
      <w:proofErr w:type="spellStart"/>
      <w:r w:rsidR="005A4C5D">
        <w:rPr>
          <w:rFonts w:ascii="Calibri" w:eastAsia="Times New Roman" w:hAnsi="Calibri" w:cs="Calibri"/>
          <w:color w:val="000000"/>
          <w:lang w:eastAsia="ar-SA"/>
        </w:rPr>
        <w:t>antygazowe</w:t>
      </w:r>
      <w:proofErr w:type="spellEnd"/>
      <w:r w:rsidR="005A4C5D">
        <w:rPr>
          <w:rFonts w:ascii="Calibri" w:eastAsia="Times New Roman" w:hAnsi="Calibri" w:cs="Calibri"/>
          <w:color w:val="000000"/>
          <w:lang w:eastAsia="ar-SA"/>
        </w:rPr>
        <w:t xml:space="preserve"> upadają. Ceny gazy spadły do poziomu sprzed podwyżek pod koniec 2021 roku. Sprawnie przeprowadzona dywersyfikacja kierunków dostaw, spowodowała, że gazu jest już za dużo w Europie</w:t>
      </w:r>
      <w:r w:rsidR="00CB68BC">
        <w:rPr>
          <w:rFonts w:ascii="Calibri" w:eastAsia="Times New Roman" w:hAnsi="Calibri" w:cs="Calibri"/>
          <w:color w:val="000000"/>
          <w:lang w:eastAsia="ar-SA"/>
        </w:rPr>
        <w:t xml:space="preserve"> i powstają nowe terminale gazowe</w:t>
      </w:r>
      <w:r w:rsidR="005A4C5D">
        <w:rPr>
          <w:rFonts w:ascii="Calibri" w:eastAsia="Times New Roman" w:hAnsi="Calibri" w:cs="Calibri"/>
          <w:color w:val="000000"/>
          <w:lang w:eastAsia="ar-SA"/>
        </w:rPr>
        <w:t>. To oczywiście nie oznacza, ze powinniśmy ponownie wstrzymać transformacje ogrzewnictwa i energetyki i</w:t>
      </w:r>
      <w:r w:rsidR="0022282F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="005A4C5D">
        <w:rPr>
          <w:rFonts w:ascii="Calibri" w:eastAsia="Times New Roman" w:hAnsi="Calibri" w:cs="Calibri"/>
          <w:color w:val="000000"/>
          <w:lang w:eastAsia="ar-SA"/>
        </w:rPr>
        <w:t xml:space="preserve">nie przechodzić na odnawialne źródła energii bo to </w:t>
      </w:r>
      <w:r w:rsidR="0022282F">
        <w:rPr>
          <w:rFonts w:ascii="Calibri" w:eastAsia="Times New Roman" w:hAnsi="Calibri" w:cs="Calibri"/>
          <w:color w:val="000000"/>
          <w:lang w:eastAsia="ar-SA"/>
        </w:rPr>
        <w:t xml:space="preserve">działanie </w:t>
      </w:r>
      <w:r w:rsidR="005A4C5D">
        <w:rPr>
          <w:rFonts w:ascii="Calibri" w:eastAsia="Times New Roman" w:hAnsi="Calibri" w:cs="Calibri"/>
          <w:color w:val="000000"/>
          <w:lang w:eastAsia="ar-SA"/>
        </w:rPr>
        <w:t xml:space="preserve">jest konieczne i nie podlega dyskusji. </w:t>
      </w:r>
      <w:r w:rsidR="0022282F">
        <w:rPr>
          <w:rFonts w:ascii="Calibri" w:eastAsia="Times New Roman" w:hAnsi="Calibri" w:cs="Calibri"/>
          <w:color w:val="000000"/>
          <w:lang w:eastAsia="ar-SA"/>
        </w:rPr>
        <w:t xml:space="preserve"> To jest cel, który konsekwentnie powinien być wdrażany. </w:t>
      </w:r>
      <w:r w:rsidR="00652109">
        <w:rPr>
          <w:rFonts w:ascii="Calibri" w:eastAsia="Times New Roman" w:hAnsi="Calibri" w:cs="Calibri"/>
          <w:color w:val="000000"/>
          <w:lang w:eastAsia="ar-SA"/>
        </w:rPr>
        <w:t>Dzięki</w:t>
      </w:r>
      <w:r w:rsidR="00CB68BC">
        <w:rPr>
          <w:rFonts w:ascii="Calibri" w:eastAsia="Times New Roman" w:hAnsi="Calibri" w:cs="Calibri"/>
          <w:color w:val="000000"/>
          <w:lang w:eastAsia="ar-SA"/>
        </w:rPr>
        <w:t xml:space="preserve"> tym działaniom, kupiliśmy sobie trochę czasu, żeby realizować to konsekwentnie, ale bez nerwowych działań. </w:t>
      </w:r>
      <w:r w:rsidR="005A4C5D">
        <w:rPr>
          <w:rFonts w:ascii="Calibri" w:eastAsia="Times New Roman" w:hAnsi="Calibri" w:cs="Calibri"/>
          <w:color w:val="000000"/>
          <w:lang w:eastAsia="ar-SA"/>
        </w:rPr>
        <w:t>Jednak zapropon</w:t>
      </w:r>
      <w:r w:rsidR="0022282F">
        <w:rPr>
          <w:rFonts w:ascii="Calibri" w:eastAsia="Times New Roman" w:hAnsi="Calibri" w:cs="Calibri"/>
          <w:color w:val="000000"/>
          <w:lang w:eastAsia="ar-SA"/>
        </w:rPr>
        <w:t>o</w:t>
      </w:r>
      <w:r w:rsidR="005A4C5D">
        <w:rPr>
          <w:rFonts w:ascii="Calibri" w:eastAsia="Times New Roman" w:hAnsi="Calibri" w:cs="Calibri"/>
          <w:color w:val="000000"/>
          <w:lang w:eastAsia="ar-SA"/>
        </w:rPr>
        <w:t>wana forma i harmonogram</w:t>
      </w:r>
      <w:r w:rsidR="0022282F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="005A4C5D">
        <w:rPr>
          <w:rFonts w:ascii="Calibri" w:eastAsia="Times New Roman" w:hAnsi="Calibri" w:cs="Calibri"/>
          <w:color w:val="000000"/>
          <w:lang w:eastAsia="ar-SA"/>
        </w:rPr>
        <w:t>jest trudny do zaakceptowania</w:t>
      </w:r>
      <w:r w:rsidR="0022282F">
        <w:rPr>
          <w:rFonts w:ascii="Calibri" w:eastAsia="Times New Roman" w:hAnsi="Calibri" w:cs="Calibri"/>
          <w:color w:val="000000"/>
          <w:lang w:eastAsia="ar-SA"/>
        </w:rPr>
        <w:t xml:space="preserve"> przez społeczeństwa krajów członkowskich i raczej nierealny</w:t>
      </w:r>
      <w:r w:rsidR="005A4C5D">
        <w:rPr>
          <w:rFonts w:ascii="Calibri" w:eastAsia="Times New Roman" w:hAnsi="Calibri" w:cs="Calibri"/>
          <w:color w:val="000000"/>
          <w:lang w:eastAsia="ar-SA"/>
        </w:rPr>
        <w:t xml:space="preserve"> ze </w:t>
      </w:r>
      <w:r w:rsidR="0022282F">
        <w:rPr>
          <w:rFonts w:ascii="Calibri" w:eastAsia="Times New Roman" w:hAnsi="Calibri" w:cs="Calibri"/>
          <w:color w:val="000000"/>
          <w:lang w:eastAsia="ar-SA"/>
        </w:rPr>
        <w:t>względów</w:t>
      </w:r>
      <w:r w:rsidR="005A4C5D">
        <w:rPr>
          <w:rFonts w:ascii="Calibri" w:eastAsia="Times New Roman" w:hAnsi="Calibri" w:cs="Calibri"/>
          <w:color w:val="000000"/>
          <w:lang w:eastAsia="ar-SA"/>
        </w:rPr>
        <w:t xml:space="preserve"> technicznych i kosztowych</w:t>
      </w:r>
      <w:r w:rsidR="0022282F">
        <w:rPr>
          <w:rFonts w:ascii="Calibri" w:eastAsia="Times New Roman" w:hAnsi="Calibri" w:cs="Calibri"/>
          <w:color w:val="000000"/>
          <w:lang w:eastAsia="ar-SA"/>
        </w:rPr>
        <w:t>.</w:t>
      </w:r>
      <w:r w:rsidR="005A4C5D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="00AD7EEB">
        <w:rPr>
          <w:rFonts w:ascii="Calibri" w:eastAsia="Times New Roman" w:hAnsi="Calibri" w:cs="Calibri"/>
          <w:color w:val="000000"/>
          <w:lang w:eastAsia="ar-SA"/>
        </w:rPr>
        <w:t xml:space="preserve"> Takie działania, ograniczające swobodę wyboru obywateli co do sposobu przyszłego ogrzewania, żeby ograniczyć niską emisję, emisje gazów cieplarnianych przy równoczesnym zapewnieniu sobie bezpieczeństwa energetycznego i komfortu cieplnego są coraz bardziej argumentami dla eurosceptyków, którzy pokazują to jako krok do ograniczania wolności obywateli.  </w:t>
      </w:r>
    </w:p>
    <w:p w14:paraId="6911E074" w14:textId="4B24FB2D" w:rsidR="009337BA" w:rsidRDefault="00AD7EEB" w:rsidP="00D170CB">
      <w:r>
        <w:t xml:space="preserve">Przypomnijmy: </w:t>
      </w:r>
      <w:r w:rsidR="009337BA">
        <w:t xml:space="preserve">14 marca Parlament Europejski przyjął stanowisko w sprawie europejskiej dyrektywy w sprawie charakterystyki energetycznej budynków. </w:t>
      </w:r>
      <w:r w:rsidR="009337BA">
        <w:rPr>
          <w:b/>
          <w:bCs/>
        </w:rPr>
        <w:t>Tekst przyjęty na posiedzeniu plenarnym jest bardzo podobny do sprawozdania przyjętego przez Komisję Przemysłu, Badań Naukowych i Energii (ITRE) w dniu 9 lutego,</w:t>
      </w:r>
      <w:r w:rsidR="009337BA">
        <w:t xml:space="preserve"> odzwierciedlając wolę posłów do PE, aby trzymać się porozumienia politycznego zawartego w komisji ITRE.</w:t>
      </w:r>
    </w:p>
    <w:p w14:paraId="3590D41A" w14:textId="4D415339" w:rsidR="00D170CB" w:rsidRDefault="00D170CB" w:rsidP="00D170CB">
      <w:r>
        <w:t xml:space="preserve">Parlament Europejski potwierdził </w:t>
      </w:r>
      <w:r>
        <w:rPr>
          <w:b/>
          <w:bCs/>
        </w:rPr>
        <w:t>wprowadzenie zakazu stosowania "systemów ogrzewania paliwami kopalnymi"</w:t>
      </w:r>
      <w:r>
        <w:t xml:space="preserve"> w transpozycji dyrektywy w nowych budynkach i budynkach poddawanych </w:t>
      </w:r>
      <w:r>
        <w:rPr>
          <w:u w:val="single"/>
        </w:rPr>
        <w:t>gruntownej renowacji</w:t>
      </w:r>
      <w:r>
        <w:t xml:space="preserve">. Jednak posłowie do PE wprowadzili również </w:t>
      </w:r>
      <w:r>
        <w:rPr>
          <w:b/>
          <w:bCs/>
        </w:rPr>
        <w:t>zwolnienie dla hybrydowych systemów grzewczych i kotłów certyfikowanych do zasilania paliwami odnawialnymi</w:t>
      </w:r>
      <w:r>
        <w:t>, które nie powinny być uważane za systemy grzewcze na paliwa kopalne.</w:t>
      </w:r>
      <w:r w:rsidR="009337BA">
        <w:t xml:space="preserve"> Należy tutaj podkreślić, ze pod pojęciem gaz nie </w:t>
      </w:r>
      <w:r w:rsidR="00AD7EEB">
        <w:t>występuje</w:t>
      </w:r>
      <w:r w:rsidR="009337BA">
        <w:t xml:space="preserve"> tylko tak konsekwentnie zwalczany gaz ziemny, ale również tzw. „zielone gazy” czyli m.in. </w:t>
      </w:r>
      <w:proofErr w:type="spellStart"/>
      <w:r w:rsidR="009337BA">
        <w:t>biometan</w:t>
      </w:r>
      <w:proofErr w:type="spellEnd"/>
      <w:r w:rsidR="009337BA">
        <w:t xml:space="preserve"> i wodór.</w:t>
      </w:r>
      <w:r>
        <w:t xml:space="preserve"> Oznacza to, że Parlament Europejski przewiduje w przyszłym ogrzewaniu także rolę technologii, które mogą wykorzystywać gaz odnawialny, takie jak </w:t>
      </w:r>
      <w:proofErr w:type="spellStart"/>
      <w:r>
        <w:t>biometan</w:t>
      </w:r>
      <w:proofErr w:type="spellEnd"/>
      <w:r>
        <w:t xml:space="preserve"> i zielony wodór.</w:t>
      </w:r>
      <w:r w:rsidR="009337BA">
        <w:t xml:space="preserve"> Czyli raczej </w:t>
      </w:r>
      <w:r w:rsidR="0022282F">
        <w:t xml:space="preserve">do </w:t>
      </w:r>
      <w:r w:rsidR="009337BA">
        <w:t xml:space="preserve">całkowitego zakazu dla </w:t>
      </w:r>
      <w:r>
        <w:t xml:space="preserve"> </w:t>
      </w:r>
      <w:r w:rsidR="00AD7EEB">
        <w:t xml:space="preserve">kotłów gazowych nie powinno </w:t>
      </w:r>
      <w:r w:rsidR="0022282F">
        <w:t>dojść</w:t>
      </w:r>
      <w:r w:rsidR="00AD7EEB">
        <w:t>, jakby chcieli to zrobić lobbyści aktywni przy przygotowywaniu tych aktów prawnych</w:t>
      </w:r>
    </w:p>
    <w:p w14:paraId="0F88C9D2" w14:textId="3C037686" w:rsidR="00D170CB" w:rsidRDefault="00D170CB" w:rsidP="00D170CB">
      <w:r>
        <w:rPr>
          <w:b/>
          <w:bCs/>
        </w:rPr>
        <w:t>Państwa członkowskie powinny również zaplanować stopniowe wycofywanie paliw kopalnych w budynkach z myślą o planowanym wycofaniu do 2035 r</w:t>
      </w:r>
      <w:r w:rsidR="009337BA">
        <w:rPr>
          <w:b/>
          <w:bCs/>
        </w:rPr>
        <w:t xml:space="preserve"> czyli za </w:t>
      </w:r>
      <w:r>
        <w:t xml:space="preserve">. Posłowie do PE otwierają drzwi do wykorzystania paliw odnawialnych po tej dacie w technologiach, które mogą wykorzystywać takie paliwa. Jest to ważny punkt w świetle rozróżnienia między paliwami, które mogą być paliwami kopalnymi lub odnawialnymi, a technologiami, które są neutralne i mogą wykorzystywać oba źródła energii. </w:t>
      </w:r>
    </w:p>
    <w:p w14:paraId="6E75A9D9" w14:textId="77777777" w:rsidR="0022282F" w:rsidRDefault="00D170CB" w:rsidP="00D170CB">
      <w:r>
        <w:lastRenderedPageBreak/>
        <w:t xml:space="preserve">Ponadto </w:t>
      </w:r>
      <w:r>
        <w:rPr>
          <w:b/>
          <w:bCs/>
        </w:rPr>
        <w:t>Parlament Europejski przewidział datę, od której państwa członkowskie nie będą zapewniać żadnego wsparcia finansowego do instalacji "</w:t>
      </w:r>
      <w:r>
        <w:rPr>
          <w:b/>
          <w:bCs/>
          <w:i/>
          <w:iCs/>
        </w:rPr>
        <w:t>kotłów na paliwa kopalne</w:t>
      </w:r>
      <w:r>
        <w:rPr>
          <w:b/>
          <w:bCs/>
        </w:rPr>
        <w:t>" w latach 2024–2027</w:t>
      </w:r>
      <w:r>
        <w:t xml:space="preserve">. Sformułowanie "kotły wykorzystujące paliwa kopalne" ponownie wprowadza lepsze </w:t>
      </w:r>
    </w:p>
    <w:p w14:paraId="6923681E" w14:textId="77777777" w:rsidR="0022282F" w:rsidRDefault="0022282F" w:rsidP="00D170CB"/>
    <w:p w14:paraId="309047C9" w14:textId="3301DA60" w:rsidR="00D170CB" w:rsidRDefault="00D170CB" w:rsidP="00D170CB">
      <w:r>
        <w:t xml:space="preserve">rozróżnienie między paliwami a technologiami i umożliwia zachęcanie kotłów wykorzystujących paliwa odnawialne. Rada przewidziała datę 2025 r. dla "kotłów zasilanych paliwami kopalnymi". </w:t>
      </w:r>
    </w:p>
    <w:p w14:paraId="7A2716C3" w14:textId="77777777" w:rsidR="00D170CB" w:rsidRDefault="00D170CB" w:rsidP="00D170CB">
      <w:r>
        <w:t>Te trzy przepisy to trzy kluczowe punkty, o których należy pamiętać dla sektora ogrzewnictwa. Istnieją jednak inne elementy tekstu, które są interesujące, ponieważ mogą mieć dla branży grzewczej pośrednie implikacje.</w:t>
      </w:r>
    </w:p>
    <w:p w14:paraId="4D30655C" w14:textId="77777777" w:rsidR="0022282F" w:rsidRDefault="0022282F" w:rsidP="0022282F">
      <w:r>
        <w:t>Warto tutaj zwrócić uwagę na istniejące już programy wsparcia wymiany starych nieefektywnych źródeł ciepła na nowe, w tym na gazowe kotły kondensacyjne. W Polsce mamy np. program Czyste Powietrze, oraz szereg lokalnych programów wsparcia opartych na Regionalnych Programach Operacyjnych z funduszy UE</w:t>
      </w:r>
    </w:p>
    <w:p w14:paraId="0D644965" w14:textId="77777777" w:rsidR="0022282F" w:rsidRPr="0022282F" w:rsidRDefault="0022282F" w:rsidP="0022282F">
      <w:pPr>
        <w:rPr>
          <w:kern w:val="2"/>
          <w14:ligatures w14:val="standardContextual"/>
        </w:rPr>
      </w:pPr>
      <w:r w:rsidRPr="0022282F">
        <w:rPr>
          <w:kern w:val="2"/>
          <w14:ligatures w14:val="standardContextual"/>
        </w:rPr>
        <w:t>Artykuł dotyczący instrumentów wsparcia w dyrektywie w sprawie charakterystyki energetycznej budynków to art. 15 "Zachęty finansowe". Stanowisko trzech instytucji UE jest następujące:</w:t>
      </w:r>
    </w:p>
    <w:p w14:paraId="5B605579" w14:textId="77777777" w:rsidR="0022282F" w:rsidRPr="0022282F" w:rsidRDefault="0022282F" w:rsidP="0022282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22282F">
        <w:rPr>
          <w:rFonts w:ascii="Calibri" w:eastAsia="Times New Roman" w:hAnsi="Calibri" w:cs="Calibri"/>
        </w:rPr>
        <w:t>Komisja UE – "</w:t>
      </w:r>
      <w:r w:rsidRPr="0022282F">
        <w:rPr>
          <w:rFonts w:ascii="Calibri" w:eastAsia="Times New Roman" w:hAnsi="Calibri" w:cs="Calibri"/>
          <w:b/>
          <w:bCs/>
          <w:i/>
          <w:iCs/>
          <w:highlight w:val="yellow"/>
        </w:rPr>
        <w:t xml:space="preserve">Od 1 stycznia </w:t>
      </w:r>
      <w:r w:rsidRPr="0022282F">
        <w:rPr>
          <w:rFonts w:ascii="Calibri" w:eastAsia="Times New Roman" w:hAnsi="Calibri" w:cs="Calibri"/>
          <w:i/>
          <w:iCs/>
          <w:highlight w:val="yellow"/>
        </w:rPr>
        <w:t>2027</w:t>
      </w:r>
      <w:r w:rsidRPr="0022282F">
        <w:rPr>
          <w:rFonts w:ascii="Calibri" w:eastAsia="Times New Roman" w:hAnsi="Calibri" w:cs="Calibri"/>
          <w:b/>
          <w:bCs/>
          <w:i/>
          <w:iCs/>
        </w:rPr>
        <w:t xml:space="preserve"> najpóźniej państwa członkowskie nie powinny zapewniać żadnych zachęt finansowych do instalowania </w:t>
      </w:r>
      <w:r w:rsidRPr="0022282F">
        <w:rPr>
          <w:rFonts w:ascii="Calibri" w:eastAsia="Times New Roman" w:hAnsi="Calibri" w:cs="Calibri"/>
          <w:b/>
          <w:bCs/>
          <w:i/>
          <w:iCs/>
          <w:highlight w:val="yellow"/>
        </w:rPr>
        <w:t>kotłów zasilanych paliwami kopalnymi</w:t>
      </w:r>
      <w:r w:rsidRPr="0022282F">
        <w:rPr>
          <w:rFonts w:ascii="Calibri" w:eastAsia="Times New Roman" w:hAnsi="Calibri" w:cs="Calibri"/>
          <w:i/>
          <w:iCs/>
        </w:rPr>
        <w:t xml:space="preserve">, </w:t>
      </w:r>
      <w:r w:rsidRPr="0022282F">
        <w:rPr>
          <w:rFonts w:ascii="Calibri" w:eastAsia="Times New Roman" w:hAnsi="Calibri" w:cs="Calibri"/>
          <w:i/>
          <w:iCs/>
          <w:highlight w:val="yellow"/>
        </w:rPr>
        <w:t>z wyjątkiem tych, które zostały wybrane do inwestycji, przed 2027</w:t>
      </w:r>
      <w:r w:rsidRPr="0022282F">
        <w:rPr>
          <w:rFonts w:ascii="Calibri" w:eastAsia="Times New Roman" w:hAnsi="Calibri" w:cs="Calibri"/>
          <w:i/>
          <w:iCs/>
        </w:rPr>
        <w:t xml:space="preserve"> r., zgodnie z art. 7 ust. 1 lit. h) </w:t>
      </w:r>
      <w:proofErr w:type="spellStart"/>
      <w:r w:rsidRPr="0022282F">
        <w:rPr>
          <w:rFonts w:ascii="Calibri" w:eastAsia="Times New Roman" w:hAnsi="Calibri" w:cs="Calibri"/>
          <w:i/>
          <w:iCs/>
        </w:rPr>
        <w:t>ppkt</w:t>
      </w:r>
      <w:proofErr w:type="spellEnd"/>
      <w:r w:rsidRPr="0022282F">
        <w:rPr>
          <w:rFonts w:ascii="Calibri" w:eastAsia="Times New Roman" w:hAnsi="Calibri" w:cs="Calibri"/>
          <w:i/>
          <w:iCs/>
        </w:rPr>
        <w:t xml:space="preserve"> (i) załącznikiem trzecim rozporządzenia Parlamentu Europejskiego i Rady (UE) 2021/1058 w sprawie Europejskiego Funduszu Rozwoju Regionalnego i Funduszu Spójności oraz z art. 73 rozporządzenia Parlamentu Europejskiego i Rady (UE) 2021/2115 w sprawie planów strategicznych WPR.</w:t>
      </w:r>
      <w:r w:rsidRPr="0022282F">
        <w:rPr>
          <w:rFonts w:ascii="Calibri" w:eastAsia="Times New Roman" w:hAnsi="Calibri" w:cs="Calibri"/>
        </w:rPr>
        <w:t>" r.</w:t>
      </w:r>
    </w:p>
    <w:p w14:paraId="19BBDC20" w14:textId="77777777" w:rsidR="0022282F" w:rsidRPr="0022282F" w:rsidRDefault="0022282F" w:rsidP="0022282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22282F">
        <w:rPr>
          <w:rFonts w:ascii="Calibri" w:eastAsia="Times New Roman" w:hAnsi="Calibri" w:cs="Calibri"/>
        </w:rPr>
        <w:t>Rada UE – "</w:t>
      </w:r>
      <w:r w:rsidRPr="0022282F">
        <w:rPr>
          <w:rFonts w:ascii="Calibri" w:eastAsia="Times New Roman" w:hAnsi="Calibri" w:cs="Calibri"/>
          <w:b/>
          <w:bCs/>
          <w:i/>
          <w:iCs/>
          <w:highlight w:val="yellow"/>
        </w:rPr>
        <w:t>Najpóźniej od dnia 1 stycznia 2025 r</w:t>
      </w:r>
      <w:r w:rsidRPr="0022282F">
        <w:rPr>
          <w:rFonts w:ascii="Calibri" w:eastAsia="Times New Roman" w:hAnsi="Calibri" w:cs="Calibri"/>
          <w:b/>
          <w:bCs/>
          <w:i/>
          <w:iCs/>
        </w:rPr>
        <w:t xml:space="preserve"> . państwa członkowskie nie powinny  zapewniać żadnych zachęt finansowych do instalowania </w:t>
      </w:r>
      <w:r w:rsidRPr="0022282F">
        <w:rPr>
          <w:rFonts w:ascii="Calibri" w:eastAsia="Times New Roman" w:hAnsi="Calibri" w:cs="Calibri"/>
          <w:b/>
          <w:bCs/>
          <w:i/>
          <w:iCs/>
          <w:highlight w:val="yellow"/>
        </w:rPr>
        <w:t>kotłów zasilanych paliwami kopalnymi</w:t>
      </w:r>
      <w:r w:rsidRPr="0022282F">
        <w:rPr>
          <w:rFonts w:ascii="Calibri" w:eastAsia="Times New Roman" w:hAnsi="Calibri" w:cs="Calibri"/>
          <w:i/>
          <w:iCs/>
        </w:rPr>
        <w:t xml:space="preserve">, </w:t>
      </w:r>
      <w:r w:rsidRPr="0022282F">
        <w:rPr>
          <w:rFonts w:ascii="Calibri" w:eastAsia="Times New Roman" w:hAnsi="Calibri" w:cs="Calibri"/>
          <w:i/>
          <w:iCs/>
          <w:highlight w:val="yellow"/>
        </w:rPr>
        <w:t>z wyjątkiem tych, które zostały wybrane do inwestycji, przed</w:t>
      </w:r>
      <w:r w:rsidRPr="0022282F">
        <w:rPr>
          <w:rFonts w:ascii="Calibri" w:eastAsia="Times New Roman" w:hAnsi="Calibri" w:cs="Calibri"/>
          <w:i/>
          <w:iCs/>
        </w:rPr>
        <w:t xml:space="preserve"> 2025 r., zgodnie z art. 7 ust. 1 lit. h) </w:t>
      </w:r>
      <w:proofErr w:type="spellStart"/>
      <w:r w:rsidRPr="0022282F">
        <w:rPr>
          <w:rFonts w:ascii="Calibri" w:eastAsia="Times New Roman" w:hAnsi="Calibri" w:cs="Calibri"/>
          <w:i/>
          <w:iCs/>
        </w:rPr>
        <w:t>ppkt</w:t>
      </w:r>
      <w:proofErr w:type="spellEnd"/>
      <w:r w:rsidRPr="0022282F">
        <w:rPr>
          <w:rFonts w:ascii="Calibri" w:eastAsia="Times New Roman" w:hAnsi="Calibri" w:cs="Calibri"/>
          <w:i/>
          <w:iCs/>
        </w:rPr>
        <w:t xml:space="preserve"> (i) łącznikiem trzecim rozporządzenia Parlamentu Europejskiego i Rady (UE) 2021/1058 w sprawie Europejskiego Funduszu Rozwoju Regionalnego i Funduszu Spójności oraz z art. 73 rozporządzenia Parlamentu Europejskiego i Rady (UE) 2021/2115 w sprawie planów strategicznych WPR.</w:t>
      </w:r>
      <w:r w:rsidRPr="0022282F">
        <w:rPr>
          <w:rFonts w:ascii="Calibri" w:eastAsia="Times New Roman" w:hAnsi="Calibri" w:cs="Calibri"/>
        </w:rPr>
        <w:t>"</w:t>
      </w:r>
    </w:p>
    <w:p w14:paraId="56F870F2" w14:textId="77777777" w:rsidR="0022282F" w:rsidRPr="0022282F" w:rsidRDefault="0022282F" w:rsidP="0022282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22282F">
        <w:rPr>
          <w:rFonts w:ascii="Calibri" w:eastAsia="Times New Roman" w:hAnsi="Calibri" w:cs="Calibri"/>
        </w:rPr>
        <w:t>Parlament Europejski – "</w:t>
      </w:r>
      <w:r w:rsidRPr="0022282F">
        <w:rPr>
          <w:rFonts w:ascii="Calibri" w:eastAsia="Times New Roman" w:hAnsi="Calibri" w:cs="Calibri"/>
          <w:b/>
          <w:bCs/>
          <w:i/>
          <w:iCs/>
          <w:highlight w:val="yellow"/>
        </w:rPr>
        <w:t>Najpóźniej od dnia 1 stycznia 2024 r.</w:t>
      </w:r>
      <w:r w:rsidRPr="0022282F">
        <w:rPr>
          <w:rFonts w:ascii="Calibri" w:eastAsia="Times New Roman" w:hAnsi="Calibri" w:cs="Calibri"/>
          <w:b/>
          <w:bCs/>
          <w:i/>
          <w:iCs/>
        </w:rPr>
        <w:t xml:space="preserve"> państwa członkowskie nie przewidują żadnych instrumentów wsparcia finansowego do instalowania kotłów wykorzystujących </w:t>
      </w:r>
      <w:r w:rsidRPr="0022282F">
        <w:rPr>
          <w:rFonts w:ascii="Calibri" w:eastAsia="Times New Roman" w:hAnsi="Calibri" w:cs="Calibri"/>
          <w:b/>
          <w:bCs/>
          <w:i/>
          <w:iCs/>
          <w:highlight w:val="yellow"/>
        </w:rPr>
        <w:t>paliwa kopalne.</w:t>
      </w:r>
      <w:r w:rsidRPr="0022282F">
        <w:rPr>
          <w:rFonts w:ascii="Calibri" w:eastAsia="Times New Roman" w:hAnsi="Calibri" w:cs="Calibri"/>
        </w:rPr>
        <w:t>"</w:t>
      </w:r>
    </w:p>
    <w:p w14:paraId="1411CC08" w14:textId="77777777" w:rsidR="0022282F" w:rsidRPr="0022282F" w:rsidRDefault="0022282F" w:rsidP="0022282F">
      <w:pPr>
        <w:rPr>
          <w:kern w:val="2"/>
          <w14:ligatures w14:val="standardContextual"/>
        </w:rPr>
      </w:pPr>
    </w:p>
    <w:p w14:paraId="09CD19C3" w14:textId="5222E7C0" w:rsidR="0022282F" w:rsidRPr="0022282F" w:rsidRDefault="0022282F" w:rsidP="0022282F">
      <w:pPr>
        <w:rPr>
          <w:kern w:val="2"/>
          <w14:ligatures w14:val="standardContextual"/>
        </w:rPr>
      </w:pPr>
      <w:r w:rsidRPr="0022282F">
        <w:rPr>
          <w:kern w:val="2"/>
          <w14:ligatures w14:val="standardContextual"/>
        </w:rPr>
        <w:t xml:space="preserve">Jak widać, </w:t>
      </w:r>
      <w:proofErr w:type="spellStart"/>
      <w:r>
        <w:rPr>
          <w:kern w:val="2"/>
          <w14:ligatures w14:val="standardContextual"/>
        </w:rPr>
        <w:t>sa</w:t>
      </w:r>
      <w:proofErr w:type="spellEnd"/>
      <w:r>
        <w:rPr>
          <w:kern w:val="2"/>
          <w14:ligatures w14:val="standardContextual"/>
        </w:rPr>
        <w:t xml:space="preserve"> rozbieżności w datach w tych trzech stanowiskach, ale </w:t>
      </w:r>
      <w:r w:rsidRPr="0022282F">
        <w:rPr>
          <w:kern w:val="2"/>
          <w14:ligatures w14:val="standardContextual"/>
        </w:rPr>
        <w:t>istnieją trzy pytania, na które należy odpowiedzieć, aby zrozumieć implikacje tego akapitu: oś czasu, produkt i wyjątki.</w:t>
      </w:r>
    </w:p>
    <w:p w14:paraId="1C6212ED" w14:textId="77777777" w:rsidR="0022282F" w:rsidRPr="0022282F" w:rsidRDefault="0022282F" w:rsidP="0022282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val="en-GB"/>
        </w:rPr>
      </w:pPr>
      <w:proofErr w:type="spellStart"/>
      <w:r w:rsidRPr="0022282F">
        <w:rPr>
          <w:rFonts w:ascii="Calibri" w:eastAsia="Times New Roman" w:hAnsi="Calibri" w:cs="Calibri"/>
          <w:lang w:val="en-GB"/>
        </w:rPr>
        <w:t>Oś</w:t>
      </w:r>
      <w:proofErr w:type="spellEnd"/>
      <w:r w:rsidRPr="0022282F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22282F">
        <w:rPr>
          <w:rFonts w:ascii="Calibri" w:eastAsia="Times New Roman" w:hAnsi="Calibri" w:cs="Calibri"/>
          <w:lang w:val="en-GB"/>
        </w:rPr>
        <w:t>czasu</w:t>
      </w:r>
      <w:proofErr w:type="spellEnd"/>
    </w:p>
    <w:p w14:paraId="44D296C7" w14:textId="77777777" w:rsidR="0022282F" w:rsidRPr="0022282F" w:rsidRDefault="0022282F" w:rsidP="0022282F">
      <w:pPr>
        <w:rPr>
          <w:kern w:val="2"/>
          <w14:ligatures w14:val="standardContextual"/>
        </w:rPr>
      </w:pPr>
      <w:r w:rsidRPr="0022282F">
        <w:rPr>
          <w:kern w:val="2"/>
          <w14:ligatures w14:val="standardContextual"/>
        </w:rPr>
        <w:t xml:space="preserve">W każdym razie koniec zachęt nastąpi przed 2029 r., prawdopodobnie w 2024 r. lub 2025 r., ponieważ takie jest stanowisko Parlamentu i Rady. </w:t>
      </w:r>
    </w:p>
    <w:p w14:paraId="5DEF29D5" w14:textId="77777777" w:rsidR="0022282F" w:rsidRPr="0022282F" w:rsidRDefault="0022282F" w:rsidP="0022282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val="en-GB"/>
        </w:rPr>
      </w:pPr>
      <w:proofErr w:type="spellStart"/>
      <w:r w:rsidRPr="0022282F">
        <w:rPr>
          <w:rFonts w:ascii="Calibri" w:eastAsia="Times New Roman" w:hAnsi="Calibri" w:cs="Calibri"/>
          <w:lang w:val="en-GB"/>
        </w:rPr>
        <w:t>Produkt</w:t>
      </w:r>
      <w:proofErr w:type="spellEnd"/>
    </w:p>
    <w:p w14:paraId="08FC1403" w14:textId="77777777" w:rsidR="0022282F" w:rsidRDefault="0022282F" w:rsidP="0022282F">
      <w:pPr>
        <w:rPr>
          <w:kern w:val="2"/>
          <w14:ligatures w14:val="standardContextual"/>
        </w:rPr>
      </w:pPr>
      <w:r w:rsidRPr="0022282F">
        <w:rPr>
          <w:kern w:val="2"/>
          <w14:ligatures w14:val="standardContextual"/>
        </w:rPr>
        <w:t xml:space="preserve">Problem dotyczy bardziej technologii, ponieważ używane są dwa różne terminy: "kotły zasilane paliwami kopalnymi" i "kotły wykorzystujące paliwa kopalne" – niejasne, jak bardzo się różnią, ale wyraźnie odróżniają paliwa od technologii, ponieważ oznacza to, że kotły niewykorzystujące paliw kopalnych mogą nadal otrzymywać wsparcie. </w:t>
      </w:r>
      <w:r w:rsidRPr="0022282F">
        <w:rPr>
          <w:b/>
          <w:bCs/>
          <w:kern w:val="2"/>
          <w14:ligatures w14:val="standardContextual"/>
        </w:rPr>
        <w:t xml:space="preserve">Pytanie brzmi, jak je odróżnić: czy wystarczy </w:t>
      </w:r>
      <w:r w:rsidRPr="0022282F">
        <w:rPr>
          <w:b/>
          <w:bCs/>
          <w:kern w:val="2"/>
          <w14:ligatures w14:val="standardContextual"/>
        </w:rPr>
        <w:lastRenderedPageBreak/>
        <w:t xml:space="preserve">certyfikacja kotłów zdolnych do radzenia sobie z zielonymi gazami, czy też powinniśmy udowodnić umową przed instalacją, że kocioł wykorzystuje zielone gazy? </w:t>
      </w:r>
      <w:r w:rsidRPr="0022282F">
        <w:rPr>
          <w:kern w:val="2"/>
          <w14:ligatures w14:val="standardContextual"/>
        </w:rPr>
        <w:t>Ponieważ jest to dyrektywa, może to zależeć od interpretacji państw członkowskich sposobu wdrożenia tego konkretnego przepisu.</w:t>
      </w:r>
    </w:p>
    <w:p w14:paraId="41F112FA" w14:textId="77777777" w:rsidR="0022282F" w:rsidRDefault="0022282F" w:rsidP="0022282F">
      <w:pPr>
        <w:rPr>
          <w:kern w:val="2"/>
          <w14:ligatures w14:val="standardContextual"/>
        </w:rPr>
      </w:pPr>
    </w:p>
    <w:p w14:paraId="2123AAFC" w14:textId="77777777" w:rsidR="0022282F" w:rsidRPr="0022282F" w:rsidRDefault="0022282F" w:rsidP="0022282F">
      <w:pPr>
        <w:rPr>
          <w:kern w:val="2"/>
          <w14:ligatures w14:val="standardContextual"/>
        </w:rPr>
      </w:pPr>
    </w:p>
    <w:p w14:paraId="49985D74" w14:textId="77777777" w:rsidR="0022282F" w:rsidRPr="0022282F" w:rsidRDefault="0022282F" w:rsidP="0022282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val="en-GB"/>
        </w:rPr>
      </w:pPr>
      <w:proofErr w:type="spellStart"/>
      <w:r w:rsidRPr="0022282F">
        <w:rPr>
          <w:rFonts w:ascii="Calibri" w:eastAsia="Times New Roman" w:hAnsi="Calibri" w:cs="Calibri"/>
          <w:lang w:val="en-GB"/>
        </w:rPr>
        <w:t>Wyjątki</w:t>
      </w:r>
      <w:proofErr w:type="spellEnd"/>
      <w:r w:rsidRPr="0022282F">
        <w:rPr>
          <w:rFonts w:ascii="Calibri" w:eastAsia="Times New Roman" w:hAnsi="Calibri" w:cs="Calibri"/>
          <w:lang w:val="en-GB"/>
        </w:rPr>
        <w:t xml:space="preserve"> od </w:t>
      </w:r>
      <w:proofErr w:type="spellStart"/>
      <w:r w:rsidRPr="0022282F">
        <w:rPr>
          <w:rFonts w:ascii="Calibri" w:eastAsia="Times New Roman" w:hAnsi="Calibri" w:cs="Calibri"/>
          <w:lang w:val="en-GB"/>
        </w:rPr>
        <w:t>zniesienia</w:t>
      </w:r>
      <w:proofErr w:type="spellEnd"/>
      <w:r w:rsidRPr="0022282F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22282F">
        <w:rPr>
          <w:rFonts w:ascii="Calibri" w:eastAsia="Times New Roman" w:hAnsi="Calibri" w:cs="Calibri"/>
          <w:lang w:val="en-GB"/>
        </w:rPr>
        <w:t>wsparcia</w:t>
      </w:r>
      <w:proofErr w:type="spellEnd"/>
    </w:p>
    <w:p w14:paraId="1A39E2DC" w14:textId="77777777" w:rsidR="0022282F" w:rsidRPr="0022282F" w:rsidRDefault="0022282F" w:rsidP="0022282F">
      <w:pPr>
        <w:rPr>
          <w:kern w:val="2"/>
          <w14:ligatures w14:val="standardContextual"/>
        </w:rPr>
      </w:pPr>
      <w:r w:rsidRPr="0022282F">
        <w:rPr>
          <w:kern w:val="2"/>
          <w14:ligatures w14:val="standardContextual"/>
        </w:rPr>
        <w:t xml:space="preserve">Ponadto </w:t>
      </w:r>
      <w:r w:rsidRPr="0022282F">
        <w:rPr>
          <w:b/>
          <w:bCs/>
          <w:kern w:val="2"/>
          <w14:ligatures w14:val="standardContextual"/>
        </w:rPr>
        <w:t>Komisja i Rada – ale nie Parlament – proponują pewne wyjątki</w:t>
      </w:r>
      <w:r w:rsidRPr="0022282F">
        <w:rPr>
          <w:kern w:val="2"/>
          <w14:ligatures w14:val="standardContextual"/>
        </w:rPr>
        <w:t xml:space="preserve"> związane z trzecim łącznikiem art. 7 ust. 1 lit. h) </w:t>
      </w:r>
      <w:proofErr w:type="spellStart"/>
      <w:r w:rsidRPr="0022282F">
        <w:rPr>
          <w:kern w:val="2"/>
          <w14:ligatures w14:val="standardContextual"/>
        </w:rPr>
        <w:t>ppkt</w:t>
      </w:r>
      <w:proofErr w:type="spellEnd"/>
      <w:r w:rsidRPr="0022282F">
        <w:rPr>
          <w:kern w:val="2"/>
          <w14:ligatures w14:val="standardContextual"/>
        </w:rPr>
        <w:t xml:space="preserve"> (i) </w:t>
      </w:r>
      <w:hyperlink r:id="rId7" w:tgtFrame="_blank" w:history="1">
        <w:r w:rsidRPr="0022282F">
          <w:rPr>
            <w:color w:val="0563C1"/>
            <w:kern w:val="2"/>
            <w:u w:val="single"/>
            <w14:ligatures w14:val="standardContextual"/>
          </w:rPr>
          <w:t>rozporządzenia (UE) 2021/1058</w:t>
        </w:r>
      </w:hyperlink>
      <w:r w:rsidRPr="0022282F">
        <w:rPr>
          <w:kern w:val="2"/>
          <w14:ligatures w14:val="standardContextual"/>
        </w:rPr>
        <w:t>. Te wyjątki od inwestycji związanych ze spalaniem paliw kopalnych obejmują: "</w:t>
      </w:r>
      <w:r w:rsidRPr="0022282F">
        <w:rPr>
          <w:b/>
          <w:bCs/>
          <w:i/>
          <w:iCs/>
          <w:kern w:val="2"/>
          <w14:ligatures w14:val="standardContextual"/>
        </w:rPr>
        <w:t>zastąpienie stałych paliw kopalnych, a mianowicie systemów ogrzewania węglem kamiennym, torfem, węglem brunatnym, łupkami bitumicznymi, systemami ogrzewania gazowymi w</w:t>
      </w:r>
      <w:r w:rsidRPr="0022282F">
        <w:rPr>
          <w:i/>
          <w:iCs/>
          <w:kern w:val="2"/>
          <w14:ligatures w14:val="standardContextual"/>
        </w:rPr>
        <w:t xml:space="preserve"> celu: 1) modernizacji systemów ciepłowniczych i chłodniczych do statusu "efektywnych systemów ciepłowniczych i chłodniczych" zdefiniowanych w art. 2 pkt 41 dyrektywy 2012/27/UE; 2) modernizacja instalacji skojarzonych do statusu "wysokosprawnej kogeneracji" zdefiniowanego w art. 2 pkt 34 dyrektywy 2012/27/UE; 3) </w:t>
      </w:r>
      <w:r w:rsidRPr="0022282F">
        <w:rPr>
          <w:b/>
          <w:bCs/>
          <w:i/>
          <w:iCs/>
          <w:kern w:val="2"/>
          <w14:ligatures w14:val="standardContextual"/>
        </w:rPr>
        <w:t>inwestycje w kotły opalane gazem ziemnym oraz systemy grzewcze w budownictwie mieszkaniowym i budynkach zastępujących instalacje oparte na węglu kamiennym, torfie, węglu brunatnym lub łupkach bitumicznych</w:t>
      </w:r>
      <w:r w:rsidRPr="0022282F">
        <w:rPr>
          <w:i/>
          <w:iCs/>
          <w:kern w:val="2"/>
          <w14:ligatures w14:val="standardContextual"/>
        </w:rPr>
        <w:t>;</w:t>
      </w:r>
      <w:r w:rsidRPr="0022282F">
        <w:rPr>
          <w:kern w:val="2"/>
          <w14:ligatures w14:val="standardContextual"/>
        </w:rPr>
        <w:t xml:space="preserve"> "</w:t>
      </w:r>
    </w:p>
    <w:p w14:paraId="39C0C519" w14:textId="77777777" w:rsidR="0022282F" w:rsidRPr="0022282F" w:rsidRDefault="0022282F" w:rsidP="0022282F">
      <w:pPr>
        <w:spacing w:after="0" w:line="240" w:lineRule="auto"/>
        <w:rPr>
          <w:rFonts w:ascii="Calibri" w:eastAsia="Times New Roman" w:hAnsi="Calibri" w:cs="Calibri"/>
        </w:rPr>
      </w:pPr>
      <w:r w:rsidRPr="0022282F">
        <w:rPr>
          <w:rFonts w:ascii="Calibri" w:eastAsia="Times New Roman" w:hAnsi="Calibri" w:cs="Calibri"/>
        </w:rPr>
        <w:t>Jeśli więc zachowa się sformułowania Komisji i Rady, program Czyste Powietrze nadal mógłby zachęcać do wymiany kotłów węglowych na kotły kondensacyjne, o ile zostaną one wybrane do inwestycji przed terminem określonym w dyrektywie (potencjalnie 2025 r. – stanowisko Rady).</w:t>
      </w:r>
    </w:p>
    <w:p w14:paraId="49A0BCC1" w14:textId="77777777" w:rsidR="0022282F" w:rsidRDefault="0022282F" w:rsidP="00D170CB"/>
    <w:p w14:paraId="6AC6BE61" w14:textId="77777777" w:rsidR="00D170CB" w:rsidRDefault="00D170CB" w:rsidP="00D170CB">
      <w:pPr>
        <w:rPr>
          <w:b/>
          <w:bCs/>
          <w:i/>
          <w:iCs/>
        </w:rPr>
      </w:pPr>
      <w:r>
        <w:rPr>
          <w:b/>
          <w:bCs/>
          <w:i/>
          <w:iCs/>
        </w:rPr>
        <w:t>Budynki zeroemisyjne</w:t>
      </w:r>
    </w:p>
    <w:p w14:paraId="5BD71E75" w14:textId="327659C2" w:rsidR="00D170CB" w:rsidRDefault="00D170CB" w:rsidP="00D170CB">
      <w:r>
        <w:t xml:space="preserve">"Budynki </w:t>
      </w:r>
      <w:proofErr w:type="spellStart"/>
      <w:r>
        <w:t>bezemisyjne</w:t>
      </w:r>
      <w:proofErr w:type="spellEnd"/>
      <w:r>
        <w:t xml:space="preserve">" (ZEB) to standard zaproponowany przez Komisję Europejską dla nowych i odnowionych budynków, aby osiągnąć cel 2050 r. dotyczący neutralności klimatycznej w sektorze budowlanym. </w:t>
      </w:r>
      <w:r>
        <w:rPr>
          <w:b/>
          <w:bCs/>
        </w:rPr>
        <w:t>Podczas gdy Komisja Europejska zaproponowała wprowadzenie obowiązkowego wymogu, aby nowe budynki były zeroemisyjne od 2030 r., Parlament przewiduje datę do 2028</w:t>
      </w:r>
      <w:r>
        <w:t xml:space="preserve"> r. W przypadku istniejących budynków poddawanych renowacji (głębokiej lub etapowej) posłowie do PE zachowali datę 2030 r. Jak już wyjaśniono, nowe budynki i budynki poddawane gruntownej renowacji nie powinny już wykorzystywać "systemów grzewczych na paliwa kopalne", z wyjątkiem                                                                                                                 certyfikowanych instalacji hybrydowych i kotłów grzewczych gotowych do stosowania odnawialnych źródeł energii. </w:t>
      </w:r>
    </w:p>
    <w:p w14:paraId="462F4FFA" w14:textId="77777777" w:rsidR="00D170CB" w:rsidRDefault="00D170CB" w:rsidP="00D170CB">
      <w:r>
        <w:rPr>
          <w:b/>
          <w:bCs/>
        </w:rPr>
        <w:t>Parlament wprowadził większą elastyczność w kwestii tego, która energia powinna być wykorzystywana w ZEB, ponieważ energia odnawialna z sieci jest dozwolona, jeśli jest przechowywana na miejscu lub produkowana w pobliżu budynku</w:t>
      </w:r>
      <w:r>
        <w:t xml:space="preserve">. Drugie kryterium otwiera drzwi do szerszego wykorzystania </w:t>
      </w:r>
      <w:proofErr w:type="spellStart"/>
      <w:r>
        <w:t>biometanu</w:t>
      </w:r>
      <w:proofErr w:type="spellEnd"/>
      <w:r>
        <w:t xml:space="preserve"> na obszarach, gdzie elektrownie są podłączone do domów za pośrednictwem sieci dystrybucyjnej. W przypadku, gdy warunki określone w art. 2.2 (definicja "ZEB") nie mogą być spełnione, wówczas energia odnawialna z sieci jest możliwa, o ile jest udokumentowana umowami zakupu energii (PPA). Ponieważ umowy zakupu energii są złożonym narzędziem, które może stanowić istotną barierę dla wykorzystania energii odnawialnej z sieci, na posiedzeniu plenarnym przyjęto poprawkę grupy EPL, aby "</w:t>
      </w:r>
      <w:r>
        <w:rPr>
          <w:i/>
          <w:iCs/>
        </w:rPr>
        <w:t>zwrócić się do Komisji o wydanie wytycznych dotyczących sposobu wdrażania i weryfikacji [...] kryteriów, ze szczególnym uwzględnieniem wykonalności technicznej i ekonomicznej</w:t>
      </w:r>
      <w:r>
        <w:t xml:space="preserve">". </w:t>
      </w:r>
    </w:p>
    <w:p w14:paraId="6F380B61" w14:textId="77777777" w:rsidR="00D170CB" w:rsidRDefault="00D170CB" w:rsidP="00D170CB">
      <w:r>
        <w:lastRenderedPageBreak/>
        <w:t>W tej konkretnej kwestii stanowisko Rady (przyjęte w październiku 2022 r.) jest podobne do stanowiska Komisji, ale dodaje możliwość korzystania z energii ze źródeł zdekarbonizowanych.</w:t>
      </w:r>
    </w:p>
    <w:p w14:paraId="7354C034" w14:textId="77777777" w:rsidR="00D170CB" w:rsidRDefault="00D170CB" w:rsidP="00D170C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Narodowy plan renowacji budynków </w:t>
      </w:r>
    </w:p>
    <w:p w14:paraId="16B4E0D8" w14:textId="77777777" w:rsidR="006E05D4" w:rsidRDefault="00D170CB" w:rsidP="00D170CB">
      <w:r>
        <w:t xml:space="preserve">Krajowy plan renowacji budynków (NBRP) to plan działania, który każde państwo członkowskie musi opracować, aby przekształcić zasoby budowlane UE w ZEB czyli budynki zeroemisyjne  do 2050 r. Wśród elementów, które należy uwzględnić w tych planach, Parlament uwzględnił, jak wspomniano </w:t>
      </w:r>
    </w:p>
    <w:p w14:paraId="29D31E92" w14:textId="77777777" w:rsidR="006E05D4" w:rsidRDefault="006E05D4" w:rsidP="00D170CB"/>
    <w:p w14:paraId="67EDFF52" w14:textId="34227AF0" w:rsidR="00D170CB" w:rsidRDefault="00D170CB" w:rsidP="00D170CB">
      <w:r>
        <w:t>powyżej, "</w:t>
      </w:r>
      <w:r>
        <w:rPr>
          <w:i/>
          <w:iCs/>
        </w:rPr>
        <w:t>krajowe plany stopniowego wycofywania się z eksploatacji paliw kopalnych w budynkach z myślą o planowanym wycofaniu do 2035 r., a jeśli nie będzie to wykonalne, jak wykazano Komisji, najpóźniej do 2040</w:t>
      </w:r>
      <w:r>
        <w:t xml:space="preserve"> r.". Komisja zaproponowała również stopniowe wycofywanie paliw kopalnych w budynkach, ale bezpośrednio od 2040 r., podczas gdy państwa członkowskie zamierzały wycofać "kotły na paliwa kopalne" od 2040 r. </w:t>
      </w:r>
      <w:r>
        <w:rPr>
          <w:b/>
          <w:bCs/>
        </w:rPr>
        <w:t>Parlament zachował rozróżnienie między paliwami a technologiami, w przeciwieństwie do Rady.</w:t>
      </w:r>
    </w:p>
    <w:p w14:paraId="5FA33163" w14:textId="77777777" w:rsidR="00D170CB" w:rsidRDefault="00D170CB" w:rsidP="00D170CB">
      <w:pPr>
        <w:rPr>
          <w:b/>
          <w:bCs/>
          <w:i/>
          <w:iCs/>
        </w:rPr>
      </w:pPr>
      <w:r>
        <w:rPr>
          <w:b/>
          <w:bCs/>
          <w:i/>
          <w:iCs/>
        </w:rPr>
        <w:t>Data transpozycji</w:t>
      </w:r>
    </w:p>
    <w:p w14:paraId="31B235E0" w14:textId="77777777" w:rsidR="00D170CB" w:rsidRDefault="00D170CB" w:rsidP="00D170CB">
      <w:r>
        <w:rPr>
          <w:b/>
          <w:bCs/>
        </w:rPr>
        <w:t>Parlament Europejski proponuje, aby państwa członkowskie miały 24 miesiące na transpozycję dyrektywy UE do prawa krajowego</w:t>
      </w:r>
      <w:r>
        <w:t>. Jeżeli dyrektywa w sprawie charakterystyki energetycznej budynków zostanie przyjęta do końca 2023 r., oznaczałoby to, że państwa członkowskie miałyby czas do końca 2025 r. na wdrożenie przepisów zawartych w tekście.</w:t>
      </w:r>
    </w:p>
    <w:p w14:paraId="00704531" w14:textId="77777777" w:rsidR="00D170CB" w:rsidRDefault="00D170CB" w:rsidP="00D170CB">
      <w:pPr>
        <w:rPr>
          <w:b/>
          <w:bCs/>
          <w:i/>
          <w:iCs/>
        </w:rPr>
      </w:pPr>
      <w:r>
        <w:rPr>
          <w:b/>
          <w:bCs/>
          <w:i/>
          <w:iCs/>
        </w:rPr>
        <w:t>Dalsze działania</w:t>
      </w:r>
    </w:p>
    <w:p w14:paraId="24E7311D" w14:textId="77777777" w:rsidR="006717D1" w:rsidRDefault="00D170CB" w:rsidP="00D170CB">
      <w:pPr>
        <w:spacing w:after="0" w:line="276" w:lineRule="auto"/>
      </w:pPr>
      <w:r>
        <w:rPr>
          <w:b/>
          <w:bCs/>
        </w:rPr>
        <w:t>Teraz, gdy Parlament Europejski i Rada UE przyjęły swoje stanowiska w oparciu o wniosek Komisji Europejskiej, rozpoczną się "rozmowy trójstronne" w negocjacjach międzyinstytucjonalnych</w:t>
      </w:r>
      <w:r>
        <w:t xml:space="preserve">. Jeśli dyskusje pójdą dobrze, porozumienie polityczne może zostać osiągnięte przed końcem prezydencji szwedzkiej (30 czerwca), ale jeśli kompromis będzie trudniejszy do znalezienia, będzie on kontynuowany podczas prezydencji hiszpańskiej (1 lipca – 31 grudnia).  </w:t>
      </w:r>
    </w:p>
    <w:p w14:paraId="34681148" w14:textId="77777777" w:rsidR="006717D1" w:rsidRDefault="006717D1" w:rsidP="00D170CB">
      <w:pPr>
        <w:spacing w:after="0" w:line="276" w:lineRule="auto"/>
      </w:pPr>
    </w:p>
    <w:p w14:paraId="1A9A4236" w14:textId="54DF7B61" w:rsidR="006717D1" w:rsidRPr="006717D1" w:rsidRDefault="006717D1" w:rsidP="00D170CB">
      <w:pPr>
        <w:spacing w:after="0" w:line="276" w:lineRule="auto"/>
        <w:rPr>
          <w:b/>
          <w:bCs/>
          <w:u w:val="single"/>
        </w:rPr>
      </w:pPr>
      <w:r w:rsidRPr="006717D1">
        <w:rPr>
          <w:b/>
          <w:bCs/>
          <w:u w:val="single"/>
        </w:rPr>
        <w:t>Dodatkowy komentarz:</w:t>
      </w:r>
    </w:p>
    <w:p w14:paraId="6A65E1A9" w14:textId="77777777" w:rsidR="006717D1" w:rsidRPr="006717D1" w:rsidRDefault="006717D1" w:rsidP="00D170CB">
      <w:pPr>
        <w:spacing w:after="0" w:line="276" w:lineRule="auto"/>
        <w:rPr>
          <w:b/>
          <w:bCs/>
        </w:rPr>
      </w:pPr>
    </w:p>
    <w:p w14:paraId="2AA7EDCE" w14:textId="77777777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color w:val="000000"/>
          <w:lang w:eastAsia="ar-SA"/>
        </w:rPr>
      </w:pPr>
      <w:r w:rsidRPr="006717D1">
        <w:rPr>
          <w:rFonts w:ascii="Calibri" w:eastAsia="SimSun" w:hAnsi="Calibri" w:cs="Calibri"/>
          <w:b/>
          <w:bCs/>
          <w:color w:val="000000"/>
          <w:lang w:eastAsia="ar-SA"/>
        </w:rPr>
        <w:t>Czy dobrym pomysłem jest zakaz stosowania urządzeń gazowych na obecnym etapie?</w:t>
      </w:r>
    </w:p>
    <w:p w14:paraId="075AC025" w14:textId="77777777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color w:val="000000"/>
          <w:lang w:eastAsia="ar-SA"/>
        </w:rPr>
      </w:pPr>
    </w:p>
    <w:p w14:paraId="3F8A09C8" w14:textId="77777777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  <w:r w:rsidRPr="006717D1">
        <w:rPr>
          <w:rFonts w:ascii="Calibri" w:eastAsia="SimSun" w:hAnsi="Calibri" w:cs="Calibri"/>
          <w:lang w:eastAsia="ar-SA"/>
        </w:rPr>
        <w:t>Nie, to nie jest dobry pomysł.</w:t>
      </w:r>
    </w:p>
    <w:p w14:paraId="2DA61C4B" w14:textId="77777777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  <w:r w:rsidRPr="006717D1">
        <w:rPr>
          <w:rFonts w:ascii="Calibri" w:eastAsia="SimSun" w:hAnsi="Calibri" w:cs="Calibri"/>
          <w:lang w:eastAsia="ar-SA"/>
        </w:rPr>
        <w:t>Z pewnością musimy konsekwentnie i w miarę szybko ograniczyć zużycie wszystkich paliw kopalnych, w tym gazu ziemnego w ogrzewaniu, co Stowarzyszenie Producentów i Importerów Urządzeń Grzewczych postuluje już od wielu lat. Powinno być to realizowane w sposób zrównoważony i przemyślany, aby nie zaburzyć bezpieczeństwa energetycznego odbiorców i nie pogłębiać ubóstwa energetycznego, co wiązałoby się z fatalnymi dla społeczeństw skutkami. Stopniowe i konsekwentne odchodzenie od stosowania paliw kopalnych ma kluczowe znaczenie dla naszego bezpieczeństwa energetycznego i osiągnięcia  celów w zakresie dekarbonizacji.</w:t>
      </w:r>
    </w:p>
    <w:p w14:paraId="58982C88" w14:textId="5B6B1A9C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  <w:r w:rsidRPr="006717D1">
        <w:rPr>
          <w:rFonts w:ascii="Calibri" w:eastAsia="SimSun" w:hAnsi="Calibri" w:cs="Calibri"/>
          <w:lang w:eastAsia="ar-SA"/>
        </w:rPr>
        <w:t xml:space="preserve">Najszybszym i najbardziej opłacalnym sposobem, aby to zrobić, jest połączenie wydajnych, przyszłościowych technologii, gotowych do wykorzystania odnawialnych źródeł energii połączonych w instalacje hybrydowe. Technologie pomp ciepła z pewnością będą bardzo powszechne w jutrzejszym budownictwie i muszą być promowane. Jednakże, nadal będziemy potrzebować urządzeń pracujących z paliwami gazowymi, które są przystępne cenowo dla każdego obywatela UE, a także dostosowane do istniejących budynków które z uwagi na koszty i moce przerobowe siły fachowej potrzebują jeszcze </w:t>
      </w:r>
      <w:r w:rsidRPr="006717D1">
        <w:rPr>
          <w:rFonts w:ascii="Calibri" w:eastAsia="SimSun" w:hAnsi="Calibri" w:cs="Calibri"/>
          <w:lang w:eastAsia="ar-SA"/>
        </w:rPr>
        <w:lastRenderedPageBreak/>
        <w:t xml:space="preserve">wiele lat na przeprowadzenie kompleksowej termomodernizacji koniecznej do pełnego wykorzystania OZE. Ponadto uzupełnienie ogrzewania elektrycznego gazem może zmniejszyć obciążenie sieci elektrycznej (np. w celu pokrycia sezonowego szczytu ciepła z okresie zimowym) zapobiegając potencjalnemu </w:t>
      </w:r>
      <w:proofErr w:type="spellStart"/>
      <w:r w:rsidRPr="006717D1">
        <w:rPr>
          <w:rFonts w:ascii="Calibri" w:eastAsia="SimSun" w:hAnsi="Calibri" w:cs="Calibri"/>
          <w:lang w:eastAsia="ar-SA"/>
        </w:rPr>
        <w:t>black</w:t>
      </w:r>
      <w:proofErr w:type="spellEnd"/>
      <w:r w:rsidRPr="006717D1">
        <w:rPr>
          <w:rFonts w:ascii="Calibri" w:eastAsia="SimSun" w:hAnsi="Calibri" w:cs="Calibri"/>
          <w:lang w:eastAsia="ar-SA"/>
        </w:rPr>
        <w:t>-outowi, jednocześnie oszczędzając finanse konieczne do modernizacji i  wzmocnienia sieci elektroenergetycznej, oraz zwiększeniu mocy wytwórczych.</w:t>
      </w:r>
    </w:p>
    <w:p w14:paraId="37AB036C" w14:textId="77777777" w:rsid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  <w:r w:rsidRPr="006717D1">
        <w:rPr>
          <w:rFonts w:ascii="Calibri" w:eastAsia="SimSun" w:hAnsi="Calibri" w:cs="Calibri"/>
          <w:lang w:eastAsia="ar-SA"/>
        </w:rPr>
        <w:t xml:space="preserve">W przyszłości zainstalowane już urządzenia zasilane paliwami gazowymi będą jednak działały inaczej niż obecnie: będą bardziej efektywne (np.: układy hybrydowe z kolektorami słonecznymi i pompami ciepła, gazowe pompy ciepła, jednostki </w:t>
      </w:r>
      <w:proofErr w:type="spellStart"/>
      <w:r w:rsidRPr="006717D1">
        <w:rPr>
          <w:rFonts w:ascii="Calibri" w:eastAsia="SimSun" w:hAnsi="Calibri" w:cs="Calibri"/>
          <w:lang w:eastAsia="ar-SA"/>
        </w:rPr>
        <w:t>mikrokogeneracyjne</w:t>
      </w:r>
      <w:proofErr w:type="spellEnd"/>
      <w:r w:rsidRPr="006717D1">
        <w:rPr>
          <w:rFonts w:ascii="Calibri" w:eastAsia="SimSun" w:hAnsi="Calibri" w:cs="Calibri"/>
          <w:lang w:eastAsia="ar-SA"/>
        </w:rPr>
        <w:t xml:space="preserve">, a także kotły kondensacyjne) i będą wykorzystywać zielone gazy, takie jak </w:t>
      </w:r>
      <w:proofErr w:type="spellStart"/>
      <w:r w:rsidRPr="006717D1">
        <w:rPr>
          <w:rFonts w:ascii="Calibri" w:eastAsia="SimSun" w:hAnsi="Calibri" w:cs="Calibri"/>
          <w:lang w:eastAsia="ar-SA"/>
        </w:rPr>
        <w:t>biometan</w:t>
      </w:r>
      <w:proofErr w:type="spellEnd"/>
      <w:r w:rsidRPr="006717D1">
        <w:rPr>
          <w:rFonts w:ascii="Calibri" w:eastAsia="SimSun" w:hAnsi="Calibri" w:cs="Calibri"/>
          <w:lang w:eastAsia="ar-SA"/>
        </w:rPr>
        <w:t xml:space="preserve"> i zielony wodór jako stabilne, niezależne od warunków </w:t>
      </w:r>
    </w:p>
    <w:p w14:paraId="766016BA" w14:textId="77777777" w:rsid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</w:p>
    <w:p w14:paraId="60F13B97" w14:textId="36AF1908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color w:val="000000"/>
          <w:lang w:eastAsia="ar-SA"/>
        </w:rPr>
      </w:pPr>
      <w:r w:rsidRPr="006717D1">
        <w:rPr>
          <w:rFonts w:ascii="Calibri" w:eastAsia="SimSun" w:hAnsi="Calibri" w:cs="Calibri"/>
          <w:color w:val="000000"/>
          <w:lang w:eastAsia="ar-SA"/>
        </w:rPr>
        <w:t xml:space="preserve">pogodowych źródło ciepła. Ważne będzie jak najszybsze wprowadzenie zielonych gazów do </w:t>
      </w:r>
      <w:proofErr w:type="spellStart"/>
      <w:r w:rsidRPr="006717D1">
        <w:rPr>
          <w:rFonts w:ascii="Calibri" w:eastAsia="SimSun" w:hAnsi="Calibri" w:cs="Calibri"/>
          <w:color w:val="000000"/>
          <w:lang w:eastAsia="ar-SA"/>
        </w:rPr>
        <w:t>miksu</w:t>
      </w:r>
      <w:proofErr w:type="spellEnd"/>
      <w:r w:rsidRPr="006717D1">
        <w:rPr>
          <w:rFonts w:ascii="Calibri" w:eastAsia="SimSun" w:hAnsi="Calibri" w:cs="Calibri"/>
          <w:color w:val="000000"/>
          <w:lang w:eastAsia="ar-SA"/>
        </w:rPr>
        <w:t xml:space="preserve"> energetycznego w ogrzewnictwie, aby zmniejszyć zużycie gazu ziemnego i emisję CO2.</w:t>
      </w:r>
    </w:p>
    <w:p w14:paraId="564B40FC" w14:textId="77777777" w:rsid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color w:val="000000"/>
          <w:lang w:eastAsia="ar-SA"/>
        </w:rPr>
      </w:pPr>
    </w:p>
    <w:p w14:paraId="43418FE6" w14:textId="77777777" w:rsidR="006717D1" w:rsidRP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b/>
          <w:bCs/>
          <w:color w:val="000000"/>
          <w:lang w:eastAsia="ar-SA"/>
        </w:rPr>
      </w:pPr>
      <w:r w:rsidRPr="006717D1">
        <w:rPr>
          <w:rFonts w:ascii="Calibri" w:eastAsia="SimSun" w:hAnsi="Calibri" w:cs="Calibri"/>
          <w:b/>
          <w:bCs/>
          <w:color w:val="000000"/>
          <w:lang w:eastAsia="ar-SA"/>
        </w:rPr>
        <w:t>Czy użytkownicy będą musieli zastąpić grzewcze urządzenia gazowe innym rozwiązaniem?</w:t>
      </w:r>
    </w:p>
    <w:p w14:paraId="453A4B36" w14:textId="77777777" w:rsidR="006717D1" w:rsidRP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lang w:eastAsia="ar-SA"/>
        </w:rPr>
      </w:pPr>
      <w:r w:rsidRPr="006717D1">
        <w:rPr>
          <w:rFonts w:ascii="Calibri" w:eastAsia="SimSun" w:hAnsi="Calibri" w:cs="Calibri"/>
          <w:b/>
          <w:bCs/>
          <w:color w:val="000000"/>
          <w:lang w:eastAsia="ar-SA"/>
        </w:rPr>
        <w:t>Czy będzie ono bardziej ekologiczne i ekonomiczne?</w:t>
      </w:r>
    </w:p>
    <w:p w14:paraId="68643C98" w14:textId="77777777" w:rsidR="006717D1" w:rsidRP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lang w:eastAsia="ar-SA"/>
        </w:rPr>
      </w:pPr>
      <w:r w:rsidRPr="006717D1">
        <w:rPr>
          <w:rFonts w:ascii="Calibri" w:eastAsia="SimSun" w:hAnsi="Calibri" w:cs="Calibri"/>
          <w:color w:val="000000"/>
          <w:lang w:eastAsia="ar-SA"/>
        </w:rPr>
        <w:t xml:space="preserve"> </w:t>
      </w:r>
    </w:p>
    <w:p w14:paraId="68757539" w14:textId="77777777" w:rsidR="006717D1" w:rsidRP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lang w:eastAsia="ar-SA"/>
        </w:rPr>
      </w:pPr>
      <w:r w:rsidRPr="006717D1">
        <w:rPr>
          <w:rFonts w:ascii="Calibri" w:eastAsia="SimSun" w:hAnsi="Calibri" w:cs="Calibri"/>
          <w:color w:val="000000"/>
          <w:lang w:eastAsia="ar-SA"/>
        </w:rPr>
        <w:t>Pozwolę sobie odpowiedzieć na te dwa pytania razem.</w:t>
      </w:r>
    </w:p>
    <w:p w14:paraId="7D1EFC05" w14:textId="77777777" w:rsidR="006717D1" w:rsidRP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lang w:eastAsia="ar-SA"/>
        </w:rPr>
      </w:pPr>
      <w:r w:rsidRPr="006717D1">
        <w:rPr>
          <w:rFonts w:ascii="Calibri" w:eastAsia="SimSun" w:hAnsi="Calibri" w:cs="Calibri"/>
          <w:color w:val="000000"/>
          <w:lang w:eastAsia="ar-SA"/>
        </w:rPr>
        <w:t xml:space="preserve">Wymiana starych i nieefektywnych systemów grzewczych jest absolutnie niezbędna do osiągnięcia naszych celów w zakresie redukcji emisji CO2, zmniejszenia zużycia energii i zaoszczędzenia rachunków za energię. Jest to jedna z niewielu wyraźnych opcji transformacji energetycznej z pozytywnym efektem końcowym dla każdej rodziny. Branża </w:t>
      </w:r>
      <w:r w:rsidRPr="006717D1">
        <w:rPr>
          <w:rFonts w:ascii="Calibri" w:eastAsia="SimSun" w:hAnsi="Calibri" w:cs="Calibri"/>
          <w:lang w:eastAsia="ar-SA"/>
        </w:rPr>
        <w:t>grzewcza</w:t>
      </w:r>
      <w:r w:rsidRPr="006717D1">
        <w:rPr>
          <w:rFonts w:ascii="Calibri" w:eastAsia="SimSun" w:hAnsi="Calibri" w:cs="Calibri"/>
          <w:color w:val="000000"/>
          <w:lang w:eastAsia="ar-SA"/>
        </w:rPr>
        <w:t xml:space="preserve"> oferuje szereg rozwiązań, które są bardziej wydajne w działaniu i dostosowane do współpracy z zielonymi paliwami i innymi źródłami OZE.</w:t>
      </w:r>
    </w:p>
    <w:p w14:paraId="28B756BC" w14:textId="77777777" w:rsidR="006717D1" w:rsidRP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lang w:eastAsia="ar-SA"/>
        </w:rPr>
      </w:pPr>
    </w:p>
    <w:p w14:paraId="1C873B26" w14:textId="77777777" w:rsidR="006717D1" w:rsidRP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lang w:eastAsia="ar-SA"/>
        </w:rPr>
      </w:pPr>
      <w:r w:rsidRPr="006717D1">
        <w:rPr>
          <w:rFonts w:ascii="Calibri" w:eastAsia="SimSun" w:hAnsi="Calibri" w:cs="Calibri"/>
          <w:color w:val="000000"/>
          <w:lang w:eastAsia="ar-SA"/>
        </w:rPr>
        <w:t>Dlaczego wymiana jest tak ważna?</w:t>
      </w:r>
    </w:p>
    <w:p w14:paraId="0AF4D3E9" w14:textId="77777777" w:rsidR="006717D1" w:rsidRP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lang w:eastAsia="ar-SA"/>
        </w:rPr>
      </w:pPr>
      <w:r w:rsidRPr="006717D1">
        <w:rPr>
          <w:rFonts w:ascii="Calibri" w:eastAsia="SimSun" w:hAnsi="Calibri" w:cs="Calibri"/>
          <w:lang w:eastAsia="ar-SA"/>
        </w:rPr>
        <w:t>Większość dzisiejszych zainstalowanych urządzeń jest stara i nieefektywna. Dotyczy to całej Europy, w tym również Polski, gdzie około dwie trzecie wszystkich zainstalowanych urządzeń grzewczych nie zostałyby dopuszczonych do sprzedaży na rynku unijnym. Zastąpienie ich rozwiązaniami wydajnymi i dostosowanymi do współpracy z urządzeniami grzewczymi wykorzystującymi OZE zmniejsza zużycie paliw kopalnych i energii elektrycznej i zwiększa oszczędności, wszędzie tam, gdzie zastosowanie ogrzewania opartego wyłącznie na OZE nie byłoby możliwe, np. z powodu zwiększonego zapotrzebowania na ciepło i problemu z szybkim przeprowadzeniem termomodernizacji.</w:t>
      </w:r>
    </w:p>
    <w:p w14:paraId="6D724079" w14:textId="77777777" w:rsidR="006717D1" w:rsidRP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lang w:eastAsia="ar-SA"/>
        </w:rPr>
      </w:pPr>
      <w:r w:rsidRPr="006717D1">
        <w:rPr>
          <w:rFonts w:ascii="Calibri" w:eastAsia="SimSun" w:hAnsi="Calibri" w:cs="Calibri"/>
          <w:lang w:eastAsia="ar-SA"/>
        </w:rPr>
        <w:t>Dzisiejszy wskaźnik wymiany urządzeń grzewczych wyraźnie nie jest wystarczająco wysoki, aby osiągnąć cele naszego społeczeństwa i musimy go przyspieszyć, do co najmniej 6 % rocznie w całej Europie.</w:t>
      </w:r>
    </w:p>
    <w:p w14:paraId="53204FF3" w14:textId="77777777" w:rsidR="006717D1" w:rsidRPr="006717D1" w:rsidRDefault="006717D1" w:rsidP="006717D1">
      <w:pPr>
        <w:suppressAutoHyphens/>
        <w:spacing w:after="0" w:line="276" w:lineRule="auto"/>
        <w:jc w:val="both"/>
        <w:rPr>
          <w:rFonts w:ascii="Calibri" w:eastAsia="SimSun" w:hAnsi="Calibri" w:cs="Calibri"/>
          <w:lang w:eastAsia="ar-SA"/>
        </w:rPr>
      </w:pPr>
    </w:p>
    <w:p w14:paraId="19A80FFF" w14:textId="77777777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color w:val="000000"/>
          <w:lang w:eastAsia="ar-SA"/>
        </w:rPr>
      </w:pPr>
      <w:r w:rsidRPr="006717D1">
        <w:rPr>
          <w:rFonts w:ascii="Calibri" w:eastAsia="SimSun" w:hAnsi="Calibri" w:cs="Calibri"/>
          <w:b/>
          <w:bCs/>
          <w:color w:val="000000"/>
          <w:lang w:eastAsia="ar-SA"/>
        </w:rPr>
        <w:t>Jakie urządzenia grzewcze będzie można zainstalować po 2027 roku w UE?</w:t>
      </w:r>
    </w:p>
    <w:p w14:paraId="5F7A60A2" w14:textId="77777777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color w:val="000000"/>
          <w:lang w:eastAsia="ar-SA"/>
        </w:rPr>
      </w:pPr>
    </w:p>
    <w:p w14:paraId="278CC05B" w14:textId="77777777" w:rsid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  <w:r w:rsidRPr="006717D1">
        <w:rPr>
          <w:rFonts w:ascii="Calibri" w:eastAsia="SimSun" w:hAnsi="Calibri" w:cs="Calibri"/>
          <w:color w:val="000000"/>
          <w:lang w:eastAsia="ar-SA"/>
        </w:rPr>
        <w:t xml:space="preserve">To będzie najprawdopodobniej zależało od przepisów poszczególnych państw członkowskich. Po 2027 r. będziemy </w:t>
      </w:r>
      <w:r w:rsidRPr="006717D1">
        <w:rPr>
          <w:rFonts w:ascii="Calibri" w:eastAsia="SimSun" w:hAnsi="Calibri" w:cs="Calibri"/>
          <w:lang w:eastAsia="ar-SA"/>
        </w:rPr>
        <w:t xml:space="preserve">prawdopodobnie potrzebować kombinacji urządzeń, które będą w stanie zrealizować nasze cele w zakresie dekarbonizacji i bezpieczeństwa energetycznego. Nie przeglądając długiej listy urządzeń, warto wspomnieć o następujących podstawowych założeniach: efektywna elektryfikacja wzrośnie dzięki zastosowaniu pomp ciepła, innych form ogrzewania elektrycznego i instalacji hybrydowych. Po stronie paliw gazowych potrzebujemy urządzeń zdolnych do zmniejszenia zużycia gazu i w pełni gotowych na współpracę z innymi źródłami ciepła wykorzystującymi energię odnawialną. W tym sensie wszystkie urządzenia gazowe dostępne obecnie na rynku mogą wykorzystywać </w:t>
      </w:r>
      <w:proofErr w:type="spellStart"/>
      <w:r w:rsidRPr="006717D1">
        <w:rPr>
          <w:rFonts w:ascii="Calibri" w:eastAsia="SimSun" w:hAnsi="Calibri" w:cs="Calibri"/>
          <w:lang w:eastAsia="ar-SA"/>
        </w:rPr>
        <w:t>biometan</w:t>
      </w:r>
      <w:proofErr w:type="spellEnd"/>
      <w:r w:rsidRPr="006717D1">
        <w:rPr>
          <w:rFonts w:ascii="Calibri" w:eastAsia="SimSun" w:hAnsi="Calibri" w:cs="Calibri"/>
          <w:lang w:eastAsia="ar-SA"/>
        </w:rPr>
        <w:t xml:space="preserve">, a większość z nich jest w stanie przejąć 20% udziału wodoru zmieszanego z metanem. Od 2029 roku proponujemy, aby wszystkie urządzenia były gotowe do konwersji na wykorzystanie 100% wodoru lub inne gazy zdekarbonizowane. Połączenie tych technologii z energią słoneczną może jeszcze </w:t>
      </w:r>
      <w:r w:rsidRPr="006717D1">
        <w:rPr>
          <w:rFonts w:ascii="Calibri" w:eastAsia="SimSun" w:hAnsi="Calibri" w:cs="Calibri"/>
          <w:lang w:eastAsia="ar-SA"/>
        </w:rPr>
        <w:lastRenderedPageBreak/>
        <w:t xml:space="preserve">bardziej zmniejszyć zużycie. Dodatkowo, z pewnością, swoje miejsce w </w:t>
      </w:r>
      <w:proofErr w:type="spellStart"/>
      <w:r w:rsidRPr="006717D1">
        <w:rPr>
          <w:rFonts w:ascii="Calibri" w:eastAsia="SimSun" w:hAnsi="Calibri" w:cs="Calibri"/>
          <w:lang w:eastAsia="ar-SA"/>
        </w:rPr>
        <w:t>miksie</w:t>
      </w:r>
      <w:proofErr w:type="spellEnd"/>
      <w:r w:rsidRPr="006717D1">
        <w:rPr>
          <w:rFonts w:ascii="Calibri" w:eastAsia="SimSun" w:hAnsi="Calibri" w:cs="Calibri"/>
          <w:lang w:eastAsia="ar-SA"/>
        </w:rPr>
        <w:t xml:space="preserve"> energetycznym umocnią nowoczesne kotły na biomasę oraz zwiększy się wykorzystanie ciepła z kolektorów słonecznych do ogrzewania i przygotowywania ciepła w procesach przemysłowych.</w:t>
      </w:r>
      <w:r>
        <w:rPr>
          <w:rFonts w:ascii="Calibri" w:eastAsia="SimSun" w:hAnsi="Calibri" w:cs="Calibri"/>
          <w:lang w:eastAsia="ar-SA"/>
        </w:rPr>
        <w:t xml:space="preserve"> </w:t>
      </w:r>
    </w:p>
    <w:p w14:paraId="16BE94A8" w14:textId="77777777" w:rsid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</w:p>
    <w:p w14:paraId="74DA0D20" w14:textId="5DBC2AB0" w:rsid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Oczywiście to zależy od decydentów, czy ulegną lobbystom działającym na rzecz monopolizacji zaopatrzenia w ciepło i energię elektryczną i nie zakażą innych technologii poza jedną, tak intensywnie obecnie promowaną.</w:t>
      </w:r>
    </w:p>
    <w:p w14:paraId="128FFAD3" w14:textId="77777777" w:rsid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</w:p>
    <w:p w14:paraId="729BBBAB" w14:textId="77777777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</w:p>
    <w:p w14:paraId="6C368281" w14:textId="77777777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color w:val="000000"/>
          <w:lang w:eastAsia="ar-SA"/>
        </w:rPr>
      </w:pPr>
    </w:p>
    <w:p w14:paraId="02396EB3" w14:textId="77777777" w:rsid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color w:val="000000"/>
          <w:lang w:eastAsia="ar-SA"/>
        </w:rPr>
      </w:pPr>
      <w:r w:rsidRPr="006717D1">
        <w:rPr>
          <w:rFonts w:ascii="Calibri" w:eastAsia="SimSun" w:hAnsi="Calibri" w:cs="Calibri"/>
          <w:color w:val="000000"/>
          <w:lang w:eastAsia="ar-SA"/>
        </w:rPr>
        <w:t xml:space="preserve">Kluczowe jest również, aby transformacja odbywała się tak, aby użytkownicy końcowi byli finansowo w stanie dokonać inwestycji niezbędnych do nabycia bardziej wydajnych i gotowych do użycia energii odnawialnej urządzeń oraz ich eksploatacji. </w:t>
      </w:r>
    </w:p>
    <w:p w14:paraId="259E88F6" w14:textId="77777777" w:rsid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color w:val="000000"/>
          <w:lang w:eastAsia="ar-SA"/>
        </w:rPr>
      </w:pPr>
    </w:p>
    <w:p w14:paraId="705888CA" w14:textId="77777777" w:rsidR="006717D1" w:rsidRPr="006717D1" w:rsidRDefault="006717D1" w:rsidP="006717D1">
      <w:pPr>
        <w:suppressAutoHyphens/>
        <w:spacing w:after="0" w:line="100" w:lineRule="atLeast"/>
        <w:jc w:val="both"/>
        <w:rPr>
          <w:rFonts w:ascii="Calibri" w:eastAsia="SimSun" w:hAnsi="Calibri" w:cs="Calibri"/>
          <w:lang w:eastAsia="ar-SA"/>
        </w:rPr>
      </w:pPr>
      <w:r w:rsidRPr="006717D1">
        <w:rPr>
          <w:rFonts w:ascii="Calibri" w:eastAsia="SimSun" w:hAnsi="Calibri" w:cs="Calibri"/>
          <w:color w:val="000000"/>
          <w:lang w:eastAsia="ar-SA"/>
        </w:rPr>
        <w:t xml:space="preserve">Podejście oparte na wielu technologiach i wielu nośnikach ma fundamentalne znaczenie również w przypadku zachęt, w celu zaspokojenia potrzeb wszystkich budynków i rodzin. W tym sensie systemy zachęt są ważne i powinny być </w:t>
      </w:r>
      <w:r w:rsidRPr="006717D1">
        <w:rPr>
          <w:rFonts w:ascii="Calibri" w:eastAsia="SimSun" w:hAnsi="Calibri" w:cs="Calibri"/>
          <w:lang w:eastAsia="ar-SA"/>
        </w:rPr>
        <w:t xml:space="preserve">skierowane sektorowo </w:t>
      </w:r>
      <w:r w:rsidRPr="006717D1">
        <w:rPr>
          <w:rFonts w:ascii="Calibri" w:eastAsia="SimSun" w:hAnsi="Calibri" w:cs="Calibri"/>
          <w:color w:val="000000"/>
          <w:lang w:eastAsia="ar-SA"/>
        </w:rPr>
        <w:t xml:space="preserve">do wszystkich przyszłościowych urządzeń, które pozwolą na spełnienie warunków: niezakłóconego zaopatrzenia w ciepło przy akceptowalnych kosztach eksploatacji oraz zmniejszania zanieczyszczenia powietrza. </w:t>
      </w:r>
    </w:p>
    <w:p w14:paraId="4609EB72" w14:textId="77777777" w:rsidR="006717D1" w:rsidRDefault="006717D1" w:rsidP="00D170CB">
      <w:pPr>
        <w:spacing w:after="0" w:line="276" w:lineRule="auto"/>
      </w:pPr>
    </w:p>
    <w:p w14:paraId="318AC4D0" w14:textId="77777777" w:rsidR="006717D1" w:rsidRDefault="006717D1" w:rsidP="00D170CB">
      <w:pPr>
        <w:spacing w:after="0" w:line="276" w:lineRule="auto"/>
      </w:pPr>
    </w:p>
    <w:p w14:paraId="151E9183" w14:textId="77777777" w:rsidR="006717D1" w:rsidRDefault="006717D1" w:rsidP="00D170CB">
      <w:pPr>
        <w:spacing w:after="0" w:line="276" w:lineRule="auto"/>
      </w:pPr>
    </w:p>
    <w:p w14:paraId="7EF99F1E" w14:textId="33AD2985" w:rsidR="00D170CB" w:rsidRDefault="00671F49" w:rsidP="00D170CB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Opracowanie SPIUG:  </w:t>
      </w:r>
    </w:p>
    <w:p w14:paraId="24004FB7" w14:textId="77777777" w:rsidR="00D170CB" w:rsidRDefault="00D170CB" w:rsidP="00D170CB">
      <w:pPr>
        <w:spacing w:after="0" w:line="276" w:lineRule="auto"/>
        <w:rPr>
          <w:rStyle w:val="tlid-translation"/>
        </w:rPr>
      </w:pPr>
    </w:p>
    <w:p w14:paraId="5FEF5025" w14:textId="77777777" w:rsidR="00D170CB" w:rsidRDefault="00D170CB" w:rsidP="00D170CB">
      <w:pPr>
        <w:spacing w:after="0" w:line="276" w:lineRule="auto"/>
        <w:rPr>
          <w:rStyle w:val="tlid-translation"/>
        </w:rPr>
      </w:pPr>
    </w:p>
    <w:p w14:paraId="1CD66D08" w14:textId="62A11219" w:rsidR="003D20CB" w:rsidRDefault="00671F49" w:rsidP="00D170CB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Warszawa, </w:t>
      </w:r>
      <w:r w:rsidR="006717D1">
        <w:rPr>
          <w:rStyle w:val="tlid-translation"/>
        </w:rPr>
        <w:t>13</w:t>
      </w:r>
      <w:r w:rsidR="00F121C5">
        <w:rPr>
          <w:rStyle w:val="tlid-translation"/>
        </w:rPr>
        <w:t xml:space="preserve"> </w:t>
      </w:r>
      <w:r w:rsidR="006717D1">
        <w:rPr>
          <w:rStyle w:val="tlid-translation"/>
        </w:rPr>
        <w:t>kwietnia</w:t>
      </w:r>
      <w:r>
        <w:rPr>
          <w:rStyle w:val="tlid-translation"/>
        </w:rPr>
        <w:t xml:space="preserve"> 202</w:t>
      </w:r>
      <w:r w:rsidR="00D170CB">
        <w:rPr>
          <w:rStyle w:val="tlid-translation"/>
        </w:rPr>
        <w:t>3</w:t>
      </w:r>
    </w:p>
    <w:p w14:paraId="24CDF905" w14:textId="0CD6F70E" w:rsidR="00D170CB" w:rsidRDefault="00D170CB" w:rsidP="00D170CB">
      <w:pPr>
        <w:spacing w:after="0" w:line="276" w:lineRule="auto"/>
        <w:rPr>
          <w:rStyle w:val="tlid-translation"/>
        </w:rPr>
      </w:pPr>
    </w:p>
    <w:p w14:paraId="2DD09D71" w14:textId="59C08DB9" w:rsidR="00D170CB" w:rsidRDefault="00D170CB" w:rsidP="00D170CB">
      <w:pPr>
        <w:spacing w:after="0" w:line="276" w:lineRule="auto"/>
      </w:pPr>
      <w:r>
        <w:rPr>
          <w:rStyle w:val="tlid-translation"/>
        </w:rPr>
        <w:t>Opracowanie: SPIUG</w:t>
      </w:r>
    </w:p>
    <w:sectPr w:rsidR="00D170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88B8" w14:textId="77777777" w:rsidR="00D00B4A" w:rsidRDefault="00D00B4A" w:rsidP="00E77D99">
      <w:pPr>
        <w:spacing w:after="0" w:line="240" w:lineRule="auto"/>
      </w:pPr>
      <w:r>
        <w:separator/>
      </w:r>
    </w:p>
  </w:endnote>
  <w:endnote w:type="continuationSeparator" w:id="0">
    <w:p w14:paraId="268DB31D" w14:textId="77777777" w:rsidR="00D00B4A" w:rsidRDefault="00D00B4A" w:rsidP="00E7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E608" w14:textId="77777777" w:rsidR="00D00B4A" w:rsidRDefault="00D00B4A" w:rsidP="00E77D99">
      <w:pPr>
        <w:spacing w:after="0" w:line="240" w:lineRule="auto"/>
      </w:pPr>
      <w:r>
        <w:separator/>
      </w:r>
    </w:p>
  </w:footnote>
  <w:footnote w:type="continuationSeparator" w:id="0">
    <w:p w14:paraId="6663C372" w14:textId="77777777" w:rsidR="00D00B4A" w:rsidRDefault="00D00B4A" w:rsidP="00E7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6840" w14:textId="77777777" w:rsidR="00E77D99" w:rsidRDefault="00E77D99">
    <w:pPr>
      <w:pStyle w:val="Nagwek"/>
    </w:pPr>
    <w:r w:rsidRPr="000C6FB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CCF730" wp14:editId="0533CB00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1566545" cy="800100"/>
          <wp:effectExtent l="0" t="0" r="0" b="0"/>
          <wp:wrapSquare wrapText="bothSides"/>
          <wp:docPr id="39" name="Obraz 2" descr="C:\Users\Janusz\Documents\Moje Dokumenty\Stowarzyszenie\2006\logotypy\Stowarzyszeni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\Documents\Moje Dokumenty\Stowarzyszenie\2006\logotypy\Stowarzyszenie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84D19" w14:textId="77777777" w:rsidR="00E77D99" w:rsidRDefault="00E77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" w15:restartNumberingAfterBreak="0">
    <w:nsid w:val="238C6377"/>
    <w:multiLevelType w:val="multilevel"/>
    <w:tmpl w:val="4546DB3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3CAA0721"/>
    <w:multiLevelType w:val="hybridMultilevel"/>
    <w:tmpl w:val="68B0C3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163B"/>
    <w:multiLevelType w:val="multilevel"/>
    <w:tmpl w:val="0514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35E97"/>
    <w:multiLevelType w:val="hybridMultilevel"/>
    <w:tmpl w:val="20A24AFC"/>
    <w:lvl w:ilvl="0" w:tplc="9A568000">
      <w:start w:val="1"/>
      <w:numFmt w:val="bullet"/>
      <w:lvlText w:val=""/>
      <w:lvlJc w:val="left"/>
      <w:pPr>
        <w:ind w:left="77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22C77EE"/>
    <w:multiLevelType w:val="hybridMultilevel"/>
    <w:tmpl w:val="4A421D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5D75"/>
    <w:multiLevelType w:val="multilevel"/>
    <w:tmpl w:val="134E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01734"/>
    <w:multiLevelType w:val="multilevel"/>
    <w:tmpl w:val="D78E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67ED9"/>
    <w:multiLevelType w:val="multilevel"/>
    <w:tmpl w:val="3E3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92D2C"/>
    <w:multiLevelType w:val="hybridMultilevel"/>
    <w:tmpl w:val="C34820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6841">
    <w:abstractNumId w:val="7"/>
  </w:num>
  <w:num w:numId="2" w16cid:durableId="219249939">
    <w:abstractNumId w:val="3"/>
  </w:num>
  <w:num w:numId="3" w16cid:durableId="128982172">
    <w:abstractNumId w:val="1"/>
  </w:num>
  <w:num w:numId="4" w16cid:durableId="378288622">
    <w:abstractNumId w:val="6"/>
  </w:num>
  <w:num w:numId="5" w16cid:durableId="1625388244">
    <w:abstractNumId w:val="8"/>
  </w:num>
  <w:num w:numId="6" w16cid:durableId="1122185877">
    <w:abstractNumId w:val="5"/>
  </w:num>
  <w:num w:numId="7" w16cid:durableId="276959197">
    <w:abstractNumId w:val="2"/>
  </w:num>
  <w:num w:numId="8" w16cid:durableId="11396929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4385047">
    <w:abstractNumId w:val="4"/>
  </w:num>
  <w:num w:numId="10" w16cid:durableId="191484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11"/>
    <w:rsid w:val="000276B7"/>
    <w:rsid w:val="0003150E"/>
    <w:rsid w:val="00066658"/>
    <w:rsid w:val="000B0C62"/>
    <w:rsid w:val="000E7729"/>
    <w:rsid w:val="00103DF2"/>
    <w:rsid w:val="00146580"/>
    <w:rsid w:val="001657C6"/>
    <w:rsid w:val="00187210"/>
    <w:rsid w:val="001D637D"/>
    <w:rsid w:val="001E1576"/>
    <w:rsid w:val="001F1C6E"/>
    <w:rsid w:val="0022282F"/>
    <w:rsid w:val="00243B11"/>
    <w:rsid w:val="002A30EA"/>
    <w:rsid w:val="002B4769"/>
    <w:rsid w:val="002D165C"/>
    <w:rsid w:val="002E2071"/>
    <w:rsid w:val="003B2924"/>
    <w:rsid w:val="003D20CB"/>
    <w:rsid w:val="003D57F9"/>
    <w:rsid w:val="004877BD"/>
    <w:rsid w:val="005031BC"/>
    <w:rsid w:val="00546537"/>
    <w:rsid w:val="005A4C5D"/>
    <w:rsid w:val="005B77CB"/>
    <w:rsid w:val="00615D62"/>
    <w:rsid w:val="0063447C"/>
    <w:rsid w:val="00652109"/>
    <w:rsid w:val="006717D1"/>
    <w:rsid w:val="00671F49"/>
    <w:rsid w:val="00681A39"/>
    <w:rsid w:val="006C04A6"/>
    <w:rsid w:val="006E05D4"/>
    <w:rsid w:val="006F6DDE"/>
    <w:rsid w:val="00723F87"/>
    <w:rsid w:val="00733FA1"/>
    <w:rsid w:val="00741F63"/>
    <w:rsid w:val="00756D46"/>
    <w:rsid w:val="007B4016"/>
    <w:rsid w:val="007F34F9"/>
    <w:rsid w:val="008801AF"/>
    <w:rsid w:val="008B0BF8"/>
    <w:rsid w:val="008C40D4"/>
    <w:rsid w:val="008E5E89"/>
    <w:rsid w:val="00921C94"/>
    <w:rsid w:val="00926C17"/>
    <w:rsid w:val="009337BA"/>
    <w:rsid w:val="00972FB6"/>
    <w:rsid w:val="009B5B1F"/>
    <w:rsid w:val="009D3924"/>
    <w:rsid w:val="00A04296"/>
    <w:rsid w:val="00A92B08"/>
    <w:rsid w:val="00AC36EA"/>
    <w:rsid w:val="00AD7EEB"/>
    <w:rsid w:val="00B50321"/>
    <w:rsid w:val="00B62DFE"/>
    <w:rsid w:val="00B732F0"/>
    <w:rsid w:val="00B758E3"/>
    <w:rsid w:val="00C44C15"/>
    <w:rsid w:val="00C46972"/>
    <w:rsid w:val="00C56EEF"/>
    <w:rsid w:val="00CB2779"/>
    <w:rsid w:val="00CB68BC"/>
    <w:rsid w:val="00CC7954"/>
    <w:rsid w:val="00D00B4A"/>
    <w:rsid w:val="00D170CB"/>
    <w:rsid w:val="00D24B4A"/>
    <w:rsid w:val="00D5744F"/>
    <w:rsid w:val="00DC17E7"/>
    <w:rsid w:val="00DD7AA9"/>
    <w:rsid w:val="00DF2D0D"/>
    <w:rsid w:val="00E11D10"/>
    <w:rsid w:val="00E165EB"/>
    <w:rsid w:val="00E73134"/>
    <w:rsid w:val="00E73DF3"/>
    <w:rsid w:val="00E77D99"/>
    <w:rsid w:val="00E81439"/>
    <w:rsid w:val="00E86F45"/>
    <w:rsid w:val="00F121C5"/>
    <w:rsid w:val="00F144A3"/>
    <w:rsid w:val="00F228C7"/>
    <w:rsid w:val="00F32081"/>
    <w:rsid w:val="00F755F2"/>
    <w:rsid w:val="00F86F79"/>
    <w:rsid w:val="00FD64DE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B4BC"/>
  <w15:docId w15:val="{7EBF0D34-FED2-464C-8FF2-A67C957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243B11"/>
  </w:style>
  <w:style w:type="paragraph" w:styleId="Nagwek">
    <w:name w:val="header"/>
    <w:basedOn w:val="Normalny"/>
    <w:link w:val="NagwekZnak"/>
    <w:uiPriority w:val="99"/>
    <w:unhideWhenUsed/>
    <w:rsid w:val="00E7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D99"/>
  </w:style>
  <w:style w:type="paragraph" w:styleId="Stopka">
    <w:name w:val="footer"/>
    <w:basedOn w:val="Normalny"/>
    <w:link w:val="StopkaZnak"/>
    <w:uiPriority w:val="99"/>
    <w:unhideWhenUsed/>
    <w:rsid w:val="00E7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D99"/>
  </w:style>
  <w:style w:type="character" w:styleId="Hipercze">
    <w:name w:val="Hyperlink"/>
    <w:basedOn w:val="Domylnaczcionkaakapitu"/>
    <w:uiPriority w:val="99"/>
    <w:unhideWhenUsed/>
    <w:rsid w:val="008E5E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E89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066658"/>
  </w:style>
  <w:style w:type="character" w:customStyle="1" w:styleId="viiyi">
    <w:name w:val="viiyi"/>
    <w:basedOn w:val="Domylnaczcionkaakapitu"/>
    <w:rsid w:val="00E73DF3"/>
  </w:style>
  <w:style w:type="character" w:styleId="Pogrubienie">
    <w:name w:val="Strong"/>
    <w:basedOn w:val="Domylnaczcionkaakapitu"/>
    <w:uiPriority w:val="22"/>
    <w:qFormat/>
    <w:rsid w:val="001657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eli/reg/2021/1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2634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Staroscik</cp:lastModifiedBy>
  <cp:revision>8</cp:revision>
  <cp:lastPrinted>2022-05-29T08:40:00Z</cp:lastPrinted>
  <dcterms:created xsi:type="dcterms:W3CDTF">2023-04-12T16:12:00Z</dcterms:created>
  <dcterms:modified xsi:type="dcterms:W3CDTF">2023-04-13T10:31:00Z</dcterms:modified>
</cp:coreProperties>
</file>