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20" w:before="0" w:line="259" w:lineRule="auto"/>
        <w:ind w:left="0" w:right="0" w:firstLine="0"/>
        <w:jc w:val="both"/>
        <w:rPr>
          <w:rFonts w:ascii="Lora" w:cs="Lora" w:eastAsia="Lora" w:hAnsi="Lora"/>
          <w:b w:val="1"/>
          <w:color w:val="0f3566"/>
          <w:sz w:val="26"/>
          <w:szCs w:val="26"/>
        </w:rPr>
      </w:pPr>
      <w:r w:rsidDel="00000000" w:rsidR="00000000" w:rsidRPr="00000000">
        <w:rPr>
          <w:rFonts w:ascii="Golos Text SemiBold" w:cs="Golos Text SemiBold" w:eastAsia="Golos Text SemiBold" w:hAnsi="Golos Text SemiBold"/>
          <w:color w:val="0f3566"/>
          <w:sz w:val="42"/>
          <w:szCs w:val="42"/>
          <w:rtl w:val="0"/>
        </w:rPr>
        <w:t xml:space="preserve">Nie tylko wyborcy Konfederacji chcą Polexitu. Raport GLOBSEC Treds 2024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114300</wp:posOffset>
            </wp:positionV>
            <wp:extent cx="756285" cy="541195"/>
            <wp:effectExtent b="0" l="0" r="0" t="0"/>
            <wp:wrapSquare wrapText="bothSides" distB="114300" distT="114300" distL="114300" distR="114300"/>
            <wp:docPr id="14412945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541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76" w:lineRule="auto"/>
        <w:jc w:val="both"/>
        <w:rPr>
          <w:rFonts w:ascii="Lora" w:cs="Lora" w:eastAsia="Lora" w:hAnsi="Lora"/>
          <w:b w:val="1"/>
          <w:color w:val="0f3566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color w:val="0f3566"/>
          <w:sz w:val="28"/>
          <w:szCs w:val="28"/>
          <w:rtl w:val="0"/>
        </w:rPr>
        <w:t xml:space="preserve">Ponad dwa lata po pełnoskalowej inwazji Rosji na Ukrainę co czwarty Słowak, Bułgar i Węgier uważają, że Rosja pozostaje strategicznym partnerem ich krajów. Przynajmniej co piąty mieszkaniec państw naszego regionu boi się stylu życia zachodnich społeczeństw. To wnioski z raportu GLOBSEC Trends 2024 zaprezentowanego przez Stowarzyszenie Demagog.</w:t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13 maja w Warszawie odbyło się zorganizowane przez Stowarzyszenie Demagog wydarzenie bazujące na formule okrągłego stołu i dotyczące tematu dezinformacji w Europie Środkowo-Wschodniej. W spotkaniu wzięli udział </w:t>
      </w: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reprezentanci administracji rządowej</w:t>
      </w: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, eksperci ds. dezinformacji, analitycy, dziennikarze, przedstawiciele firm technologicznych, a także działacze organizacji pozarządowych. Głównym tematem spotkania była prezentacja raportu GLOBSEC Trends 2024, opracowanego przez międzynarodowy think tank GLOBSEC z siedzibą w Bratysławie. Stowarzyszenie Demagog było organizacją partnerską biorącą udział w tworzeniu tego raportu.</w:t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Arial" w:cs="Arial" w:eastAsia="Arial" w:hAnsi="Arial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Fonts w:ascii="Golos Text" w:cs="Golos Text" w:eastAsia="Golos Text" w:hAnsi="Golos Text"/>
          <w:b w:val="1"/>
          <w:color w:val="0f3566"/>
          <w:rtl w:val="0"/>
        </w:rPr>
        <w:t xml:space="preserve">Tylko Słowacy w większości winią za wojnę Zachód i Ukraińców</w:t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Arial" w:cs="Arial" w:eastAsia="Arial" w:hAnsi="Arial"/>
          <w:b w:val="1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Z badania wynika, że społeczeństwa Polski, Litwy, Czech, Estonii i Łotwy nie mają wątpliwości, kto ponosi odpowiedzialność za wojnę w Ukrainie. W każdym z tych krajów przynajmniej dwie trzecie badanych jako winnych wskazują Rosjan, którzy dokonali pełnoskalowej inwazji.</w:t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Warto zwrócić uwagę, że Słowacy są </w:t>
      </w: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jedynym</w:t>
      </w: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 z badanych narodów Europy Środkowo-Wschodniej, który w większości winą za wybuch wojny obarcza Ukraińców i państwa Zachodu. 31 proc. Słowaków uważa, że to Zachód sprowokował Rosję do ataku, a 20 proc. jest zdania, że winna jest Ukraina prześladująca mniejszość rosyjskojęzyczną. Tylko 41 proc. Słowaków za wojnę wini Rosjan.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Fonts w:ascii="Golos Text" w:cs="Golos Text" w:eastAsia="Golos Text" w:hAnsi="Golos Text"/>
          <w:b w:val="1"/>
          <w:color w:val="0f3566"/>
          <w:rtl w:val="0"/>
        </w:rPr>
        <w:t xml:space="preserve">Kto popiera Polexit?</w:t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Okazuje się, że poparcie Polaków dla obecności w NATO jest niezagrożone. Tylko 3 proc. ankietowanych w referendum opowiedziałoby się za opuszczeniem sojuszu. Za to za Polexitem głosowałoby 20 proc. Polaków. 53 proc. ankietowanych uważa, że Unia Europejska dyktuje nam, co mamy robić.</w:t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Polexit popiera 56 proc. wyborców Konfederacji i 37 proc. wyborców Prawa i Sprawiedliwości, ale zwolennicy opuszczenia UE znajdują się wśród zwolenników różnych ugrupowań. Za Polexitem jest 19 proc. wyborców Bezpartyjnych Samorządowców, 5 proc. wyborców Trzeciej Drogi, 3 proc. – Platformy Obywatelskiej i 2 proc. głosujących na Nową Lewicę.</w:t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„Najnowsze badanie GLOBSEC dowodzi, że Polacy są w pełni świadomi tego, że Rosja stanowi zagrożenie dla bezpieczeństwa naszego kraju i jak kluczowa jest w tym kontekście rola NATO oraz Stanów Zjednoczonych w regionie Europy Środkowo-Wschodniej. Jednocześnie widzimy coraz większy sprzeciw wobec kierunku, w którym zmierza polityka Unii Europejskiej. Co więcej, jedna piąta Polaków opowiedziałaby się w potencjalnym referendum za Polexitem – w mojej ocenie jest to znaczący kapitał polityczny, który mogą zagospodarować partie eurosceptyczne” – komentuje redaktor naczelny portalu Demagog, dr Paweł Terpiłowski. </w:t>
      </w:r>
    </w:p>
    <w:p w:rsidR="00000000" w:rsidDel="00000000" w:rsidP="00000000" w:rsidRDefault="00000000" w:rsidRPr="00000000" w14:paraId="00000013">
      <w:pPr>
        <w:spacing w:after="0" w:line="276" w:lineRule="auto"/>
        <w:jc w:val="both"/>
        <w:rPr>
          <w:rFonts w:ascii="Arial" w:cs="Arial" w:eastAsia="Arial" w:hAnsi="Arial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Fonts w:ascii="Golos Text" w:cs="Golos Text" w:eastAsia="Golos Text" w:hAnsi="Golos Text"/>
          <w:b w:val="1"/>
          <w:color w:val="0f3566"/>
          <w:rtl w:val="0"/>
        </w:rPr>
        <w:t xml:space="preserve">Większość Polaków chce wziąć udział w eurowyborach</w:t>
      </w:r>
    </w:p>
    <w:p w:rsidR="00000000" w:rsidDel="00000000" w:rsidP="00000000" w:rsidRDefault="00000000" w:rsidRPr="00000000" w14:paraId="00000015">
      <w:pPr>
        <w:spacing w:after="0" w:line="276" w:lineRule="auto"/>
        <w:jc w:val="both"/>
        <w:rPr>
          <w:rFonts w:ascii="Arial" w:cs="Arial" w:eastAsia="Arial" w:hAnsi="Arial"/>
          <w:b w:val="1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W przededniu wyborów do Parlamentu Europejskiego aż 58 proc. ankietowanych z Polski deklaruje, że na pewno weźmie udział w głosowaniu. Warto przypomnieć, że w 2019 roku w eurowyborach w Polsce frekwencja wyniosła 45,68 proc. </w:t>
      </w:r>
    </w:p>
    <w:p w:rsidR="00000000" w:rsidDel="00000000" w:rsidP="00000000" w:rsidRDefault="00000000" w:rsidRPr="00000000" w14:paraId="00000017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13 proc. ankietowanych w Polsce odpowiedziało, że zdecydowanie nie pójdzie lub raczej nie pójdzie zagłosować 9 czerwca. Jakie są powody ich decyzji? 36 proc. nie interesuje się polityką, 14 proc. jest zdania, że nic się nie zmieni, a 10 proc. nie ufa unijnym instytucjom.</w:t>
      </w:r>
    </w:p>
    <w:p w:rsidR="00000000" w:rsidDel="00000000" w:rsidP="00000000" w:rsidRDefault="00000000" w:rsidRPr="00000000" w14:paraId="00000019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Choć Polacy masowo planują ruszyć do urn, by wybrać swoich reprezentantów do Parlamentu Europejskiego, 38 proc. ankietowanych jest zdania, że nie ma znaczenia, kto zostanie wybrany, bo i tak nic się nie zmieni.</w:t>
      </w:r>
    </w:p>
    <w:p w:rsidR="00000000" w:rsidDel="00000000" w:rsidP="00000000" w:rsidRDefault="00000000" w:rsidRPr="00000000" w14:paraId="0000001A">
      <w:pPr>
        <w:spacing w:after="0" w:line="276" w:lineRule="auto"/>
        <w:jc w:val="both"/>
        <w:rPr>
          <w:rFonts w:ascii="Arial" w:cs="Arial" w:eastAsia="Arial" w:hAnsi="Arial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Fonts w:ascii="Golos Text" w:cs="Golos Text" w:eastAsia="Golos Text" w:hAnsi="Golos Text"/>
          <w:b w:val="1"/>
          <w:color w:val="0f3566"/>
          <w:rtl w:val="0"/>
        </w:rPr>
        <w:t xml:space="preserve">Kto boi się sztucznej inteligencji?</w:t>
      </w:r>
    </w:p>
    <w:p w:rsidR="00000000" w:rsidDel="00000000" w:rsidP="00000000" w:rsidRDefault="00000000" w:rsidRPr="00000000" w14:paraId="0000001C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W tegorocznej edycji raportu po raz pierwszy podniesiono kwestię stosunku społeczeństw Europy Środkowo-Wschodniej do sztucznej inteligencji. Okazuje się, że przez nasz region przebiega granica między optymistami i pesymistami w kwestii wpływu AI na nasze życie. W Słowacji, Czechach i Polsce prym wiodą pesymiści – jest ich tam odpowiednio 54 proc., 52 proc. i 51 proc. wśród badanych. Za to Rumuni w większości (57 proc.) widzą wpływ sztucznej inteligencji na przyszłość optymistycznie. </w:t>
      </w:r>
    </w:p>
    <w:p w:rsidR="00000000" w:rsidDel="00000000" w:rsidP="00000000" w:rsidRDefault="00000000" w:rsidRPr="00000000" w14:paraId="0000001E">
      <w:pPr>
        <w:spacing w:after="0" w:line="276" w:lineRule="auto"/>
        <w:jc w:val="both"/>
        <w:rPr>
          <w:rFonts w:ascii="Arial" w:cs="Arial" w:eastAsia="Arial" w:hAnsi="Arial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jc w:val="both"/>
        <w:rPr>
          <w:rFonts w:ascii="Golos Text" w:cs="Golos Text" w:eastAsia="Golos Text" w:hAnsi="Golos Text"/>
          <w:b w:val="1"/>
          <w:color w:val="0f3566"/>
        </w:rPr>
      </w:pPr>
      <w:r w:rsidDel="00000000" w:rsidR="00000000" w:rsidRPr="00000000">
        <w:rPr>
          <w:rFonts w:ascii="Golos Text" w:cs="Golos Text" w:eastAsia="Golos Text" w:hAnsi="Golos Text"/>
          <w:b w:val="1"/>
          <w:color w:val="0f3566"/>
          <w:rtl w:val="0"/>
        </w:rPr>
        <w:t xml:space="preserve">O badaniu</w:t>
      </w:r>
    </w:p>
    <w:p w:rsidR="00000000" w:rsidDel="00000000" w:rsidP="00000000" w:rsidRDefault="00000000" w:rsidRPr="00000000" w14:paraId="00000020">
      <w:pPr>
        <w:spacing w:after="0" w:line="276" w:lineRule="auto"/>
        <w:jc w:val="both"/>
        <w:rPr>
          <w:rFonts w:ascii="Arial" w:cs="Arial" w:eastAsia="Arial" w:hAnsi="Arial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Badanie przeprowadzono w lutym 2024 roku w dziewięciu krajach regionu Europy Środkowo-Wschodniej. Były to: Bułgaria, Czechy, Estonia, Litwa, Łotwa, Polska, Rumunia, Słowacja i Węgry. Grupa badawcza była reprezentatywna ze względu na płeć, wiek, edukację i miejsce zamieszkania. Wyniki pokazują główne trendy w ocenie polityki zagranicznej i bezpieczeństwa społeczeństw tego regionu, postrzeganie sztucznej inteligencji, a także stosunek do wspólnot międzynarodowych takich jak Unia Europejska i NATO.</w:t>
      </w:r>
    </w:p>
    <w:p w:rsidR="00000000" w:rsidDel="00000000" w:rsidP="00000000" w:rsidRDefault="00000000" w:rsidRPr="00000000" w14:paraId="00000022">
      <w:pPr>
        <w:spacing w:after="0" w:line="276" w:lineRule="auto"/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rPr>
          <w:rFonts w:ascii="Lora" w:cs="Lora" w:eastAsia="Lora" w:hAnsi="Lora"/>
          <w:color w:val="0f3566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color w:val="0f3566"/>
          <w:rtl w:val="0"/>
        </w:rPr>
        <w:t xml:space="preserve">Raport z badania jest dostępny na stronie: </w:t>
      </w:r>
      <w:hyperlink r:id="rId8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https://www.globsec.org/sites/default/files/2024-05/Globsec%20TRENDS%202024.pdf</w:t>
        </w:r>
      </w:hyperlink>
      <w:r w:rsidDel="00000000" w:rsidR="00000000" w:rsidRPr="00000000">
        <w:rPr>
          <w:rFonts w:ascii="Lora" w:cs="Lora" w:eastAsia="Lora" w:hAnsi="Lora"/>
          <w:color w:val="0f356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rPr>
          <w:rFonts w:ascii="Fira Sans" w:cs="Fira Sans" w:eastAsia="Fira Sans" w:hAnsi="Fira Sans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center" w:leader="none" w:pos="4536"/>
          <w:tab w:val="right" w:leader="none" w:pos="9072"/>
        </w:tabs>
        <w:spacing w:after="0" w:line="240" w:lineRule="auto"/>
        <w:jc w:val="both"/>
        <w:rPr>
          <w:rFonts w:ascii="Golos Text" w:cs="Golos Text" w:eastAsia="Golos Text" w:hAnsi="Golos Text"/>
          <w:color w:val="0f3566"/>
          <w:sz w:val="24"/>
          <w:szCs w:val="24"/>
        </w:rPr>
      </w:pPr>
      <w:r w:rsidDel="00000000" w:rsidR="00000000" w:rsidRPr="00000000">
        <w:rPr>
          <w:rFonts w:ascii="Golos Text" w:cs="Golos Text" w:eastAsia="Golos Text" w:hAnsi="Golos Text"/>
          <w:color w:val="0f3566"/>
          <w:sz w:val="18"/>
          <w:szCs w:val="18"/>
          <w:rtl w:val="0"/>
        </w:rPr>
        <w:t xml:space="preserve">Stowarzyszenie Demagog to pierwsza w Polsce organizacja factcheckingowa. Naszym głównym celem jest poprawa jakości debaty publicznej poprzez dostarczanie obywatelom bezstronnej i wiarygodnej informacji. Od kwietnia 2014 roku weryfikujemy wypowiedzi oraz obietnice wyborcze polityków na portalu demagog.org.pl. Zajmujemy się również rozpowszechnianiem idei fact-checkingu w Polsce. W ramach walki z fake newsami prowadzimy warsztaty oraz realizujemy projekty edukacyjne skierowane do młodzieży, np. Akademię Fact-checkingu. Od maja 2019 roku należymy do Międzynarodowej Sieci Factcheckingowej (IFCN).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center" w:leader="none" w:pos="4536"/>
          <w:tab w:val="right" w:leader="none" w:pos="9072"/>
        </w:tabs>
        <w:spacing w:after="0" w:line="240" w:lineRule="auto"/>
        <w:jc w:val="both"/>
        <w:rPr>
          <w:rFonts w:ascii="Golos Text" w:cs="Golos Text" w:eastAsia="Golos Text" w:hAnsi="Golos Text"/>
          <w:color w:val="0f35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Fira Sans" w:cs="Fira Sans" w:eastAsia="Fira Sans" w:hAnsi="Fira Sans"/>
          <w:b w:val="1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0f3566"/>
          <w:sz w:val="20"/>
          <w:szCs w:val="20"/>
          <w:rtl w:val="0"/>
        </w:rPr>
        <w:t xml:space="preserve">Więcej informacji: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Marcel Kiełtyka</w:t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Fira Sans" w:cs="Fira Sans" w:eastAsia="Fira Sans" w:hAnsi="Fira Sans"/>
          <w:color w:val="0f3566"/>
          <w:sz w:val="20"/>
          <w:szCs w:val="20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marcel.kieltyka@demagog.org.pl</w:t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Lora" w:cs="Lora" w:eastAsia="Lora" w:hAnsi="Lora"/>
          <w:color w:val="0f3566"/>
          <w:sz w:val="18"/>
          <w:szCs w:val="18"/>
        </w:rPr>
      </w:pPr>
      <w:r w:rsidDel="00000000" w:rsidR="00000000" w:rsidRPr="00000000">
        <w:rPr>
          <w:rFonts w:ascii="Fira Sans" w:cs="Fira Sans" w:eastAsia="Fira Sans" w:hAnsi="Fira Sans"/>
          <w:color w:val="0f3566"/>
          <w:sz w:val="20"/>
          <w:szCs w:val="20"/>
          <w:rtl w:val="0"/>
        </w:rPr>
        <w:t xml:space="preserve">tel.: +48 507 099 993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Lora" w:cs="Lora" w:eastAsia="Lora" w:hAnsi="Lora"/>
          <w:color w:val="0f3566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6838" w:w="11906" w:orient="portrait"/>
      <w:pgMar w:bottom="2722" w:top="170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Golos Text">
    <w:embedRegular w:fontKey="{00000000-0000-0000-0000-000000000000}" r:id="rId1" w:subsetted="0"/>
    <w:embedBold w:fontKey="{00000000-0000-0000-0000-000000000000}" r:id="rId2" w:subsetted="0"/>
  </w:font>
  <w:font w:name="Lo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Fira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Golos Text SemiBold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-735800</wp:posOffset>
          </wp:positionH>
          <wp:positionV relativeFrom="paragraph">
            <wp:posOffset>-937189</wp:posOffset>
          </wp:positionV>
          <wp:extent cx="7591990" cy="1746363"/>
          <wp:effectExtent b="0" l="0" r="0" t="0"/>
          <wp:wrapNone/>
          <wp:docPr descr="A close-up of a computer screen&#10;&#10;Description automatically generated" id="1441294534" name="image2.png"/>
          <a:graphic>
            <a:graphicData uri="http://schemas.openxmlformats.org/drawingml/2006/picture">
              <pic:pic>
                <pic:nvPicPr>
                  <pic:cNvPr descr="A close-up of a computer screen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1990" cy="17463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MGHeading" w:customStyle="1">
    <w:name w:val="DMG Heading"/>
    <w:basedOn w:val="Normal"/>
    <w:link w:val="DMGHeadingChar"/>
    <w:qFormat w:val="1"/>
    <w:rsid w:val="00002C69"/>
    <w:pPr>
      <w:spacing w:after="720"/>
    </w:pPr>
    <w:rPr>
      <w:rFonts w:ascii="Golos Text" w:cs="Golos Text" w:hAnsi="Golos Text"/>
      <w:noProof w:val="1"/>
      <w:color w:val="2e2e2e"/>
      <w:sz w:val="48"/>
      <w:szCs w:val="48"/>
    </w:rPr>
  </w:style>
  <w:style w:type="character" w:styleId="DMGHeadingChar" w:customStyle="1">
    <w:name w:val="DMG Heading Char"/>
    <w:basedOn w:val="DefaultParagraphFont"/>
    <w:link w:val="DMGHeading"/>
    <w:rsid w:val="00002C69"/>
    <w:rPr>
      <w:rFonts w:ascii="Golos Text" w:cs="Golos Text" w:hAnsi="Golos Text"/>
      <w:noProof w:val="1"/>
      <w:color w:val="2e2e2e"/>
      <w:sz w:val="48"/>
      <w:szCs w:val="48"/>
    </w:rPr>
  </w:style>
  <w:style w:type="paragraph" w:styleId="DMGbodytext" w:customStyle="1">
    <w:name w:val="DMG body text"/>
    <w:basedOn w:val="DMGHeading"/>
    <w:link w:val="DMGbodytextChar"/>
    <w:qFormat w:val="1"/>
    <w:rsid w:val="00A03187"/>
    <w:pPr>
      <w:spacing w:after="120"/>
      <w:jc w:val="both"/>
    </w:pPr>
    <w:rPr>
      <w:rFonts w:ascii="Lora" w:hAnsi="Lora"/>
      <w:sz w:val="22"/>
      <w:szCs w:val="22"/>
    </w:rPr>
  </w:style>
  <w:style w:type="character" w:styleId="DMGbodytextChar" w:customStyle="1">
    <w:name w:val="DMG body text Char"/>
    <w:basedOn w:val="DMGHeadingChar"/>
    <w:link w:val="DMGbodytext"/>
    <w:rsid w:val="00A03187"/>
    <w:rPr>
      <w:rFonts w:ascii="Lora" w:cs="Golos Text" w:hAnsi="Lora"/>
      <w:noProof w:val="1"/>
      <w:color w:val="2e2e2e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002C69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02C69"/>
  </w:style>
  <w:style w:type="paragraph" w:styleId="Footer">
    <w:name w:val="footer"/>
    <w:basedOn w:val="Normal"/>
    <w:link w:val="FooterChar"/>
    <w:uiPriority w:val="99"/>
    <w:unhideWhenUsed w:val="1"/>
    <w:rsid w:val="00002C69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02C6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globsec.org/sites/default/files/2024-05/Globsec%20TRENDS%202024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losText-regular.ttf"/><Relationship Id="rId2" Type="http://schemas.openxmlformats.org/officeDocument/2006/relationships/font" Target="fonts/GolosText-bold.ttf"/><Relationship Id="rId3" Type="http://schemas.openxmlformats.org/officeDocument/2006/relationships/font" Target="fonts/Lora-regular.ttf"/><Relationship Id="rId4" Type="http://schemas.openxmlformats.org/officeDocument/2006/relationships/font" Target="fonts/Lora-bold.ttf"/><Relationship Id="rId11" Type="http://schemas.openxmlformats.org/officeDocument/2006/relationships/font" Target="fonts/GolosTextSemiBold-regular.ttf"/><Relationship Id="rId10" Type="http://schemas.openxmlformats.org/officeDocument/2006/relationships/font" Target="fonts/FiraSans-boldItalic.ttf"/><Relationship Id="rId12" Type="http://schemas.openxmlformats.org/officeDocument/2006/relationships/font" Target="fonts/GolosTextSemiBold-bold.ttf"/><Relationship Id="rId9" Type="http://schemas.openxmlformats.org/officeDocument/2006/relationships/font" Target="fonts/FiraSans-italic.ttf"/><Relationship Id="rId5" Type="http://schemas.openxmlformats.org/officeDocument/2006/relationships/font" Target="fonts/Lora-italic.ttf"/><Relationship Id="rId6" Type="http://schemas.openxmlformats.org/officeDocument/2006/relationships/font" Target="fonts/Lora-boldItalic.ttf"/><Relationship Id="rId7" Type="http://schemas.openxmlformats.org/officeDocument/2006/relationships/font" Target="fonts/FiraSans-regular.ttf"/><Relationship Id="rId8" Type="http://schemas.openxmlformats.org/officeDocument/2006/relationships/font" Target="fonts/Fira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RpvFfz5V7e9rLU5k+Z/8HuZ1yw==">CgMxLjA4AHIhMXRleTJqWHQycnJZLXVQVDRhUzBxbE9uaHJRZ3R4NlJU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2023-09-17T07:41:00Z</dcterms:created>
  <dc:creator>Sara Pszonka</dc:creator>
</cp:coreProperties>
</file>